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F4" w:rsidRDefault="00BC0CFB" w:rsidP="00F77447">
      <w:pPr>
        <w:jc w:val="center"/>
        <w:rPr>
          <w:sz w:val="20"/>
          <w:szCs w:val="20"/>
        </w:rPr>
      </w:pPr>
      <w:dir w:val="ltr">
        <w:r>
          <w:rPr>
            <w:noProof/>
          </w:rPr>
          <w:drawing>
            <wp:inline distT="0" distB="0" distL="0" distR="0" wp14:anchorId="3D034A08" wp14:editId="79EEC7EA">
              <wp:extent cx="3643952" cy="2345083"/>
              <wp:effectExtent l="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197" cy="23516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i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DF71F4" w:rsidRDefault="00BC0CFB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DF71F4" w:rsidRDefault="00BC0CFB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>O3 - dva osnovy diaľkového vzdelávania v strojovom učení a cloud computingu</w:t>
      </w:r>
    </w:p>
    <w:p w:rsidR="00DF71F4" w:rsidRDefault="00BC0CFB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>Cloud Computing - hodnotenia</w:t>
      </w:r>
    </w:p>
    <w:p w:rsidR="00DF71F4" w:rsidRDefault="00DF71F4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DF71F4" w:rsidRDefault="00BC0CFB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Október 2022</w:t>
      </w:r>
    </w:p>
    <w:p w:rsidR="00DF71F4" w:rsidRDefault="00DF71F4">
      <w:pPr>
        <w:spacing w:line="276" w:lineRule="auto"/>
        <w:jc w:val="center"/>
        <w:rPr>
          <w:sz w:val="32"/>
          <w:szCs w:val="32"/>
        </w:rPr>
        <w:sectPr w:rsidR="00DF71F4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DF71F4" w:rsidRDefault="00F77447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</w:t>
      </w:r>
      <w:r w:rsidR="00BC0CFB">
        <w:t>-094713</w:t>
      </w:r>
    </w:p>
    <w:p w:rsidR="00DF71F4" w:rsidRDefault="00BC0CFB">
      <w:pPr>
        <w:pStyle w:val="P68B1DB1-Normal5"/>
        <w:spacing w:before="301" w:line="276" w:lineRule="auto"/>
        <w:ind w:left="316" w:right="315"/>
        <w:jc w:val="center"/>
        <w:rPr>
          <w:szCs w:val="56"/>
        </w:rPr>
      </w:pPr>
      <w:r>
        <w:t>CODEIN</w:t>
      </w: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DF71F4" w:rsidRDefault="00F77447" w:rsidP="00F77447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color w:val="000000"/>
          <w:sz w:val="25"/>
          <w:szCs w:val="25"/>
        </w:rPr>
      </w:pPr>
      <w:bookmarkStart w:id="0" w:name="_GoBack"/>
      <w:proofErr w:type="spellStart"/>
      <w:r w:rsidRPr="00F77447">
        <w:rPr>
          <w:color w:val="000000"/>
          <w:sz w:val="24"/>
        </w:rPr>
        <w:t>Cloud</w:t>
      </w:r>
      <w:proofErr w:type="spellEnd"/>
      <w:r w:rsidRPr="00F77447">
        <w:rPr>
          <w:color w:val="000000"/>
          <w:sz w:val="24"/>
        </w:rPr>
        <w:t xml:space="preserve"> </w:t>
      </w:r>
      <w:proofErr w:type="spellStart"/>
      <w:r w:rsidRPr="00F77447">
        <w:rPr>
          <w:color w:val="000000"/>
          <w:sz w:val="24"/>
        </w:rPr>
        <w:t>cOmputing</w:t>
      </w:r>
      <w:proofErr w:type="spellEnd"/>
      <w:r w:rsidRPr="00F77447">
        <w:rPr>
          <w:color w:val="000000"/>
          <w:sz w:val="24"/>
        </w:rPr>
        <w:t xml:space="preserve"> for Digital </w:t>
      </w:r>
      <w:proofErr w:type="spellStart"/>
      <w:r w:rsidRPr="00F77447">
        <w:rPr>
          <w:color w:val="000000"/>
          <w:sz w:val="24"/>
        </w:rPr>
        <w:t>Education</w:t>
      </w:r>
      <w:proofErr w:type="spellEnd"/>
      <w:r w:rsidRPr="00F77447">
        <w:rPr>
          <w:color w:val="000000"/>
          <w:sz w:val="24"/>
        </w:rPr>
        <w:t xml:space="preserve"> </w:t>
      </w:r>
      <w:proofErr w:type="spellStart"/>
      <w:r w:rsidRPr="00F77447">
        <w:rPr>
          <w:color w:val="000000"/>
          <w:sz w:val="24"/>
        </w:rPr>
        <w:t>INnovation</w:t>
      </w:r>
      <w:proofErr w:type="spellEnd"/>
    </w:p>
    <w:bookmarkEnd w:id="0"/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DF71F4" w:rsidTr="00DF7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</w:pPr>
            <w:r>
              <w:t>Pracovný balík: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DF71F4" w:rsidRPr="00151A20" w:rsidRDefault="00BC0CFB" w:rsidP="00151A2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151A20">
              <w:rPr>
                <w:b w:val="0"/>
              </w:rPr>
              <w:t>Intelektuálne výstupy</w:t>
            </w:r>
          </w:p>
        </w:tc>
      </w:tr>
      <w:tr w:rsidR="00DF71F4" w:rsidTr="00DF71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</w:pPr>
            <w:r>
              <w:t>Produkt/Dodávka: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DF71F4" w:rsidRPr="00151A20" w:rsidRDefault="00BC0CFB" w:rsidP="00151A20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151A20">
              <w:rPr>
                <w:b w:val="0"/>
              </w:rPr>
              <w:t>O3 - Dva osnovy dištančného vzdelávania v strojovom učení a cloud computingu - Hodnotenia</w:t>
            </w:r>
          </w:p>
        </w:tc>
      </w:tr>
    </w:tbl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DF71F4" w:rsidTr="00DF71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Verzia:</w:t>
            </w:r>
          </w:p>
        </w:tc>
        <w:tc>
          <w:tcPr>
            <w:tcW w:w="2521" w:type="dxa"/>
            <w:tcBorders>
              <w:bottom w:val="nil"/>
            </w:tcBorders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51A20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51A20">
              <w:rPr>
                <w:b w:val="0"/>
              </w:rPr>
              <w:t>Dátum: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151A20">
              <w:rPr>
                <w:b w:val="0"/>
              </w:rPr>
              <w:t>Október 2022</w:t>
            </w:r>
          </w:p>
        </w:tc>
      </w:tr>
      <w:tr w:rsidR="00DF71F4" w:rsidTr="00DF71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Typ: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151A20">
              <w:rPr>
                <w:b w:val="0"/>
              </w:rPr>
              <w:t>e-kniha</w:t>
            </w:r>
          </w:p>
        </w:tc>
      </w:tr>
      <w:tr w:rsidR="00DF71F4" w:rsidTr="00DF71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Distribúcia: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151A20">
              <w:rPr>
                <w:b w:val="0"/>
              </w:rPr>
              <w:t>Partneri projektu</w:t>
            </w:r>
          </w:p>
        </w:tc>
      </w:tr>
      <w:tr w:rsidR="00DF71F4" w:rsidTr="00DF71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Zodpovedný partner: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DF71F4" w:rsidRPr="00151A20" w:rsidRDefault="00151A20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proofErr w:type="spellStart"/>
            <w:r w:rsidRPr="00151A20">
              <w:rPr>
                <w:b w:val="0"/>
              </w:rPr>
              <w:t>Polytechnic</w:t>
            </w:r>
            <w:proofErr w:type="spellEnd"/>
            <w:r w:rsidRPr="00151A20">
              <w:rPr>
                <w:b w:val="0"/>
              </w:rPr>
              <w:t xml:space="preserve"> </w:t>
            </w:r>
            <w:proofErr w:type="spellStart"/>
            <w:r w:rsidRPr="00151A20">
              <w:rPr>
                <w:b w:val="0"/>
              </w:rPr>
              <w:t>of</w:t>
            </w:r>
            <w:proofErr w:type="spellEnd"/>
            <w:r w:rsidRPr="00151A20">
              <w:rPr>
                <w:b w:val="0"/>
              </w:rPr>
              <w:t xml:space="preserve"> Šibenik</w:t>
            </w:r>
          </w:p>
        </w:tc>
      </w:tr>
      <w:tr w:rsidR="00DF71F4" w:rsidTr="00DF71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151A20">
              <w:rPr>
                <w:b w:val="0"/>
              </w:rPr>
              <w:t>Všetci partneri</w:t>
            </w:r>
          </w:p>
        </w:tc>
      </w:tr>
      <w:tr w:rsidR="00DF71F4" w:rsidTr="00DF71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Prispievatelia: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151A20">
              <w:rPr>
                <w:b w:val="0"/>
              </w:rPr>
              <w:t>Všetci partneri</w:t>
            </w:r>
          </w:p>
        </w:tc>
      </w:tr>
      <w:tr w:rsidR="00DF71F4" w:rsidTr="00DF71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DF71F4" w:rsidRDefault="00BC0CFB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Schválil:</w:t>
            </w:r>
          </w:p>
        </w:tc>
        <w:tc>
          <w:tcPr>
            <w:tcW w:w="2521" w:type="dxa"/>
            <w:tcBorders>
              <w:top w:val="nil"/>
            </w:tcBorders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151A20">
              <w:rPr>
                <w:b w:val="0"/>
              </w:rPr>
              <w:t>Tím zabezpečenia kvality</w:t>
            </w:r>
          </w:p>
        </w:tc>
        <w:tc>
          <w:tcPr>
            <w:tcW w:w="1080" w:type="dxa"/>
            <w:tcBorders>
              <w:top w:val="nil"/>
            </w:tcBorders>
          </w:tcPr>
          <w:p w:rsidR="00DF71F4" w:rsidRPr="00151A20" w:rsidRDefault="00BC0CFB" w:rsidP="000C1247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151A20">
              <w:rPr>
                <w:b w:val="0"/>
              </w:rPr>
              <w:t>Dátum: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DF71F4" w:rsidRPr="00151A20" w:rsidRDefault="00BC0CFB" w:rsidP="000C1247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151A20">
              <w:rPr>
                <w:b w:val="0"/>
              </w:rPr>
              <w:t>30/11/2022</w:t>
            </w:r>
          </w:p>
        </w:tc>
      </w:tr>
    </w:tbl>
    <w:p w:rsidR="00DF71F4" w:rsidRDefault="00DF71F4">
      <w:pPr>
        <w:spacing w:line="276" w:lineRule="auto"/>
        <w:rPr>
          <w:sz w:val="24"/>
          <w:szCs w:val="24"/>
        </w:rPr>
        <w:sectPr w:rsidR="00DF71F4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DF71F4" w:rsidRDefault="00DF71F4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DF71F4" w:rsidRDefault="00BC0CFB">
      <w:pPr>
        <w:pStyle w:val="P68B1DB1-Normal7"/>
        <w:spacing w:before="33" w:line="276" w:lineRule="auto"/>
        <w:ind w:left="239"/>
        <w:rPr>
          <w:szCs w:val="36"/>
        </w:rPr>
      </w:pPr>
      <w:r>
        <w:t>Identifikačný list</w:t>
      </w: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DF71F4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Kód projektu</w:t>
            </w:r>
          </w:p>
        </w:tc>
        <w:tc>
          <w:tcPr>
            <w:tcW w:w="6236" w:type="dxa"/>
          </w:tcPr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2020-1-HR01-KA226-He-094713</w:t>
            </w:r>
          </w:p>
        </w:tc>
      </w:tr>
      <w:tr w:rsidR="00DF71F4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Akronym projektu</w:t>
            </w:r>
          </w:p>
        </w:tc>
        <w:tc>
          <w:tcPr>
            <w:tcW w:w="6236" w:type="dxa"/>
          </w:tcPr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CODEIN</w:t>
            </w:r>
          </w:p>
        </w:tc>
      </w:tr>
      <w:tr w:rsidR="00DF71F4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Celý názov projektu</w:t>
            </w:r>
          </w:p>
        </w:tc>
        <w:tc>
          <w:tcPr>
            <w:tcW w:w="6236" w:type="dxa"/>
          </w:tcPr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proofErr w:type="spellStart"/>
            <w:r w:rsidR="00151A20" w:rsidRPr="00151A20">
              <w:t>Cloud</w:t>
            </w:r>
            <w:proofErr w:type="spellEnd"/>
            <w:r w:rsidR="00151A20" w:rsidRPr="00151A20">
              <w:t xml:space="preserve"> </w:t>
            </w:r>
            <w:proofErr w:type="spellStart"/>
            <w:r w:rsidR="00151A20" w:rsidRPr="00151A20">
              <w:t>cOmputing</w:t>
            </w:r>
            <w:proofErr w:type="spellEnd"/>
            <w:r w:rsidR="00151A20" w:rsidRPr="00151A20">
              <w:t xml:space="preserve"> for Digital </w:t>
            </w:r>
            <w:proofErr w:type="spellStart"/>
            <w:r w:rsidR="00151A20" w:rsidRPr="00151A20">
              <w:t>Education</w:t>
            </w:r>
            <w:proofErr w:type="spellEnd"/>
            <w:r w:rsidR="00151A20" w:rsidRPr="00151A20">
              <w:t xml:space="preserve"> </w:t>
            </w:r>
            <w:proofErr w:type="spellStart"/>
            <w:r w:rsidR="00151A20" w:rsidRPr="00151A20">
              <w:t>INnovation</w:t>
            </w:r>
            <w:proofErr w:type="spellEnd"/>
          </w:p>
        </w:tc>
      </w:tr>
    </w:tbl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DF71F4">
        <w:trPr>
          <w:trHeight w:val="720"/>
        </w:trPr>
        <w:tc>
          <w:tcPr>
            <w:tcW w:w="2823" w:type="dxa"/>
            <w:shd w:val="clear" w:color="auto" w:fill="FDEADA"/>
          </w:tcPr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Kľúčové slová</w:t>
            </w:r>
          </w:p>
        </w:tc>
        <w:tc>
          <w:tcPr>
            <w:tcW w:w="6219" w:type="dxa"/>
          </w:tcPr>
          <w:p w:rsidR="00DF71F4" w:rsidRDefault="00BC0CFB">
            <w:r>
              <w:t>diaľkové vzdelávanie, cloud computing</w:t>
            </w:r>
          </w:p>
        </w:tc>
      </w:tr>
      <w:tr w:rsidR="00DF71F4">
        <w:trPr>
          <w:trHeight w:val="2280"/>
        </w:trPr>
        <w:tc>
          <w:tcPr>
            <w:tcW w:w="2823" w:type="dxa"/>
            <w:shd w:val="clear" w:color="auto" w:fill="FDEADA"/>
          </w:tcPr>
          <w:p w:rsidR="00DF71F4" w:rsidRDefault="00DF7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DF71F4" w:rsidRDefault="00DF7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DF71F4" w:rsidRDefault="00DF7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DF71F4" w:rsidRDefault="00DF7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rPr>
                <w:b/>
                <w:color w:val="000000"/>
                <w:sz w:val="20"/>
                <w:szCs w:val="20"/>
              </w:rPr>
            </w:pPr>
          </w:p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</w:pPr>
            <w:r>
              <w:t>Abstraktné</w:t>
            </w:r>
          </w:p>
        </w:tc>
        <w:tc>
          <w:tcPr>
            <w:tcW w:w="6219" w:type="dxa"/>
          </w:tcPr>
          <w:p w:rsidR="00DF71F4" w:rsidRDefault="00DF71F4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DF71F4">
        <w:trPr>
          <w:trHeight w:val="1660"/>
        </w:trPr>
        <w:tc>
          <w:tcPr>
            <w:tcW w:w="2823" w:type="dxa"/>
            <w:shd w:val="clear" w:color="auto" w:fill="FDEADA"/>
          </w:tcPr>
          <w:p w:rsidR="00DF71F4" w:rsidRDefault="00DF7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DF71F4" w:rsidRDefault="00DF71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rPr>
                <w:b/>
                <w:color w:val="000000"/>
              </w:rPr>
            </w:pPr>
          </w:p>
          <w:p w:rsidR="00DF71F4" w:rsidRDefault="00BC0CFB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</w:pPr>
            <w:r>
              <w:t>Odmietnutie zodpovednosti</w:t>
            </w:r>
          </w:p>
        </w:tc>
        <w:tc>
          <w:tcPr>
            <w:tcW w:w="6219" w:type="dxa"/>
          </w:tcPr>
          <w:p w:rsidR="00DF71F4" w:rsidRDefault="00BC0CFB">
            <w:r>
              <w:t>Tento projekt bol financovaný s podporou Európskej komisie. Táto publikácia odráža iba názory autora a Komisia nemôže byť zodpovedná za akékoľvek použitie informácií, ktoré sú v nej obsiahnuté.</w:t>
            </w:r>
          </w:p>
        </w:tc>
      </w:tr>
    </w:tbl>
    <w:p w:rsidR="00DF71F4" w:rsidRDefault="00DF71F4">
      <w:pPr>
        <w:spacing w:line="276" w:lineRule="auto"/>
        <w:sectPr w:rsidR="00DF71F4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DF71F4" w:rsidRDefault="00DF71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DF71F4" w:rsidRDefault="00BC0CFB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Obsah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BC0CFB" w:rsidRDefault="00BC0CFB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05291" w:history="1">
            <w:r w:rsidRPr="00326A3A">
              <w:rPr>
                <w:rStyle w:val="Hyperlink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_Toc159605291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0CFB" w:rsidRDefault="00BC0CFB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5292" w:history="1">
            <w:r w:rsidRPr="00326A3A">
              <w:rPr>
                <w:rStyle w:val="Hyperlink"/>
                <w:noProof/>
              </w:rPr>
              <w:t>OTÁZKY HODNOTENIA: VYHODNOŤTE SVOJE ZNALOSTI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_Toc159605292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0CFB" w:rsidRDefault="00BC0CFB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05293" w:history="1">
            <w:r w:rsidRPr="00326A3A">
              <w:rPr>
                <w:rStyle w:val="Hyperlink"/>
                <w:noProof/>
              </w:rPr>
              <w:t>REFERENCIE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_Toc159605293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71F4" w:rsidRDefault="00BC0CFB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1" w:name="_heading=h.gjdgxs" w:colFirst="0" w:colLast="0" w:displacedByCustomXml="prev"/>
    <w:bookmarkEnd w:id="1" w:displacedByCustomXml="prev"/>
    <w:p w:rsidR="00DF71F4" w:rsidRDefault="00BC0CFB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DF71F4" w:rsidRDefault="00BC0CFB">
      <w:pPr>
        <w:pStyle w:val="Heading2"/>
        <w:tabs>
          <w:tab w:val="left" w:pos="476"/>
        </w:tabs>
        <w:spacing w:line="276" w:lineRule="auto"/>
      </w:pPr>
      <w:bookmarkStart w:id="2" w:name="_Toc159605291"/>
      <w:r>
        <w:lastRenderedPageBreak/>
        <w:t>ÚVOD</w:t>
      </w:r>
      <w:bookmarkEnd w:id="2"/>
    </w:p>
    <w:p w:rsidR="00DF71F4" w:rsidRDefault="00BC0CFB">
      <w:pPr>
        <w:pStyle w:val="BodyText"/>
      </w:pPr>
      <w:bookmarkStart w:id="3" w:name="_heading=h.30j0zll" w:colFirst="0" w:colLast="0"/>
      <w:bookmarkEnd w:id="3"/>
      <w:r>
        <w:t>Nižšie nájdete súbor hodnotiacich otázok, ktoré vám pomôžu zhodnotiť vaše vedomosti. Tieto otázky spolu s ostatnými, ako sú oni, boli predtým zverejnené na platforme Oracle Academy Member Hub ako interaktívne hodnotiace kvízy, stredy a záverečné skúšky.</w:t>
      </w:r>
    </w:p>
    <w:p w:rsidR="00DF71F4" w:rsidRDefault="00BC0CFB">
      <w:pPr>
        <w:pStyle w:val="Heading2"/>
      </w:pPr>
      <w:bookmarkStart w:id="4" w:name="_Toc159605292"/>
      <w:r>
        <w:t>OTÁZKY HODNOTENIA: VYHODNOŤTE SVOJE ZNALOSTI</w:t>
      </w:r>
      <w:bookmarkEnd w:id="4"/>
    </w:p>
    <w:p w:rsidR="00DF71F4" w:rsidRDefault="00BC0CFB">
      <w:pPr>
        <w:pStyle w:val="BodyText"/>
      </w:pPr>
      <w:r>
        <w:t>1. Ktoré z nasledujúcich tvrdení je pravdivé?</w:t>
      </w:r>
    </w:p>
    <w:p w:rsidR="00DF71F4" w:rsidRDefault="00BC0CFB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Každá chybová doména pozostáva z troch domén dostupnosti</w:t>
      </w:r>
    </w:p>
    <w:p w:rsidR="00DF71F4" w:rsidRDefault="00BC0CFB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Každá doména dostupnosti obsahuje tri chybové domény  </w:t>
      </w:r>
    </w:p>
    <w:p w:rsidR="00DF71F4" w:rsidRDefault="00BC0CFB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Domény dostupnosti sú navzájom izolované</w:t>
      </w:r>
    </w:p>
    <w:p w:rsidR="00DF71F4" w:rsidRDefault="00BC0CFB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Všetky oblasti OCI sú oblasť s jednou doménou dostupnosti</w:t>
      </w:r>
    </w:p>
    <w:p w:rsidR="00DF71F4" w:rsidRDefault="00BC0CFB">
      <w:pPr>
        <w:pStyle w:val="BodyText"/>
      </w:pPr>
      <w:r>
        <w:t>2. Spoločnosť vyvinula webovú aplikáciu v službe Oracle Cloud Infrastructure. Čo by mala robiť, aby zaistila najvyššiu úroveň odolnosti aplikácie?</w:t>
      </w:r>
    </w:p>
    <w:p w:rsidR="00DF71F4" w:rsidRDefault="00BC0CFB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Nasaďte aplikáciu vo viacerých virtuálnych cloudových sieťach. </w:t>
      </w:r>
    </w:p>
    <w:p w:rsidR="00DF71F4" w:rsidRDefault="00BC0CFB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Nasaďte aplikáciu vo viacerých doménach dostupnosti a chybových doménach.  </w:t>
      </w:r>
    </w:p>
    <w:p w:rsidR="00DF71F4" w:rsidRDefault="00BC0CFB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Nasaďte aplikáciu vo viacerých oblastiach a doménach dostupnosti.</w:t>
      </w:r>
    </w:p>
    <w:p w:rsidR="00DF71F4" w:rsidRDefault="00BC0CFB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Nasaďte aplikáciu vo viacerých doménach dostupnosti a podsieťach.</w:t>
      </w:r>
    </w:p>
    <w:p w:rsidR="00DF71F4" w:rsidRDefault="00BC0CFB">
      <w:pPr>
        <w:pStyle w:val="BodyText"/>
      </w:pPr>
      <w:r>
        <w:t>3. Ktorá z nasledujúcich virtualizácií presunie I/O ukladacieho priestoru a siete z hypervízora a aktivuje nižšie režijné náklady a inštancie Bare Metal?</w:t>
      </w:r>
    </w:p>
    <w:p w:rsidR="00DF71F4" w:rsidRDefault="00BC0CFB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Virtualizácia ukladacieho priestoru</w:t>
      </w:r>
    </w:p>
    <w:p w:rsidR="00DF71F4" w:rsidRDefault="00BC0CFB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Virtualizácia siete</w:t>
      </w:r>
    </w:p>
    <w:p w:rsidR="00DF71F4" w:rsidRDefault="00BC0CFB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 xml:space="preserve">Off-box virtualizácia siete  </w:t>
      </w:r>
    </w:p>
    <w:p w:rsidR="00DF71F4" w:rsidRDefault="00BC0CFB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Virtualizácia aplikácií</w:t>
      </w:r>
    </w:p>
    <w:p w:rsidR="00DF71F4" w:rsidRDefault="00BC0CFB">
      <w:pPr>
        <w:pStyle w:val="BodyText"/>
      </w:pPr>
      <w:r>
        <w:t>4. Aký je maximálny počet domén dostupnosti v cloudovej oblasti?</w:t>
      </w:r>
    </w:p>
    <w:p w:rsidR="00DF71F4" w:rsidRDefault="00BC0CFB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2</w:t>
      </w:r>
    </w:p>
    <w:p w:rsidR="00DF71F4" w:rsidRDefault="00BC0CFB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10</w:t>
      </w:r>
    </w:p>
    <w:p w:rsidR="00DF71F4" w:rsidRDefault="00BC0CFB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3  </w:t>
      </w:r>
    </w:p>
    <w:p w:rsidR="00DF71F4" w:rsidRDefault="00BC0CFB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</w:t>
      </w:r>
    </w:p>
    <w:p w:rsidR="00DF71F4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5. Ktorá z nasledujúcich možností predstavuje rozsah IP adries v rámci siete 192.168.2.0/25?</w:t>
      </w:r>
    </w:p>
    <w:p w:rsidR="00DF71F4" w:rsidRDefault="00BC0CFB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192.168.2.31</w:t>
      </w:r>
    </w:p>
    <w:p w:rsidR="00DF71F4" w:rsidRDefault="00BC0CFB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192.168.2.65</w:t>
      </w:r>
    </w:p>
    <w:p w:rsidR="00DF71F4" w:rsidRDefault="00BC0CFB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192.168.2.0 – 192.168.2.127  </w:t>
      </w:r>
    </w:p>
    <w:p w:rsidR="00DF71F4" w:rsidRDefault="00BC0CFB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192.168.2.7</w:t>
      </w:r>
    </w:p>
    <w:p w:rsidR="00DF71F4" w:rsidRDefault="00BC0CFB">
      <w:pPr>
        <w:pStyle w:val="BodyText"/>
      </w:pPr>
      <w:r>
        <w:t>6. Ktorý z nasledujúcich protokolov používa Fastconnect na výmenu smerovacích informácií?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BGP  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ICMP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OSPF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RV</w:t>
      </w:r>
    </w:p>
    <w:p w:rsidR="00DF71F4" w:rsidRDefault="00BC0CFB">
      <w:pPr>
        <w:pStyle w:val="BodyText"/>
      </w:pPr>
      <w:r>
        <w:t>7. Ktorá brána sa môže použiť na poskytovanie internetového prístupu k záťažiam nasadeným v súkromnej podsieti siete VCN?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Brána služieb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Brána na dynamické smerovanie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Brána NAT  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Internetová brána</w:t>
      </w:r>
    </w:p>
    <w:p w:rsidR="00DF71F4" w:rsidRDefault="00BC0CFB">
      <w:pPr>
        <w:pStyle w:val="BodyText"/>
      </w:pPr>
      <w:r>
        <w:t>8. Uveďte, či je príkaz True alebo False: Na pripojenie dvoch sietí VCN v rámci oblasti sa vyžaduje lokálna peeringová brána?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9. Uveďte, či je príkaz True alebo False: BGP je protokol statického smerovania.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10. Ktorá z nasledujúcich možností predstavuje množstvo bezplatných odchádzajúcich dátových prenosov v prenájme OCI?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50TB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20TB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5TB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10TB  </w:t>
      </w:r>
    </w:p>
    <w:p w:rsidR="00DF71F4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11. Ktoré z nasledujúcich možností sa môžu použiť na pripojenie lokálnej siete zákazníka ku cloudu?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Brána služieb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VPN  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Internetová brána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Brána DRG</w:t>
      </w:r>
    </w:p>
    <w:p w:rsidR="00DF71F4" w:rsidRDefault="00BC0CFB">
      <w:pPr>
        <w:spacing w:before="0" w:after="0" w:line="240" w:lineRule="auto"/>
        <w:jc w:val="left"/>
      </w:pPr>
      <w:r>
        <w:t>12. Uveďte, či je príkaz True alebo False: Servery Bare Metal sa používajú pre záťaže s vysokými nárokmi na výkon.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13. Uveďte, či je nasledujúci príkaz True alebo False: Objektový ukladací priestor podporuje súkromný prístup zo zdrojov služby Oracle Cloud Infrastructure v sieti VCN cez internetovú bránu.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BC0CFB">
      <w:pPr>
        <w:pStyle w:val="BodyText"/>
      </w:pPr>
      <w:r>
        <w:t>14. Ktoré z nasledujúcich možností je predvolené meno používateľa vytvorené vo výpočtovej inštancii vytvorenej zo systému Oracle Linux/CentOS?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koreň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opc.  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usr.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opcusr</w:t>
      </w:r>
    </w:p>
    <w:p w:rsidR="00DF71F4" w:rsidRDefault="00BC0CFB">
      <w:pPr>
        <w:pStyle w:val="BodyText"/>
      </w:pPr>
      <w:r>
        <w:t>15. Ktorá z nasledujúcich služieb ukladacieho priestoru OCI sa používa na ukladanie neštruktúrovaných dát?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Ukladací priestor súborov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Úložisko archívov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Blokový zväzok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Úložisko objektov  </w:t>
      </w:r>
    </w:p>
    <w:p w:rsidR="00DF71F4" w:rsidRDefault="00BC0CFB">
      <w:pPr>
        <w:pStyle w:val="BodyText"/>
      </w:pPr>
      <w:r>
        <w:t>16. Stav, či má príkaz hodnotu True alebo False: Blokové zväzky sú predvolene určené len na čítanie.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17. Ktorá z nasledujúcich služieb ukladacieho priestoru OCI sa používa na ukladanie dát, ku ktorým sa pristupuje zriedka, ale vyžaduje si dlhé obdobia uchovávania?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Úložisko archívov  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Úložisko objektov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Blokový zväzok</w:t>
      </w:r>
    </w:p>
    <w:p w:rsidR="00BC0CFB" w:rsidRDefault="00BC0CFB" w:rsidP="00BC0CFB">
      <w:pPr>
        <w:pStyle w:val="ListParagraph"/>
        <w:widowControl/>
        <w:numPr>
          <w:ilvl w:val="0"/>
          <w:numId w:val="13"/>
        </w:numPr>
        <w:spacing w:before="0" w:after="0" w:line="240" w:lineRule="auto"/>
        <w:contextualSpacing/>
        <w:jc w:val="left"/>
      </w:pPr>
      <w:proofErr w:type="spellStart"/>
      <w:r>
        <w:t>Ukladací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</w:t>
      </w:r>
      <w:proofErr w:type="spellStart"/>
      <w:r>
        <w:t>súborov</w:t>
      </w:r>
      <w:proofErr w:type="spellEnd"/>
    </w:p>
    <w:p w:rsidR="00BC0CFB" w:rsidRDefault="00BC0CFB" w:rsidP="00BC0CFB">
      <w:pPr>
        <w:pStyle w:val="ListParagraph"/>
        <w:widowControl/>
        <w:spacing w:before="0" w:after="0" w:line="240" w:lineRule="auto"/>
        <w:ind w:left="720" w:firstLine="0"/>
        <w:contextualSpacing/>
        <w:jc w:val="left"/>
      </w:pPr>
    </w:p>
    <w:p w:rsidR="00DF71F4" w:rsidRDefault="00BC0CFB" w:rsidP="00BC0CFB">
      <w:pPr>
        <w:widowControl/>
        <w:spacing w:before="0" w:after="0" w:line="240" w:lineRule="auto"/>
        <w:contextualSpacing/>
        <w:jc w:val="left"/>
      </w:pPr>
      <w:r>
        <w:t>18. Stav, či má príkaz hodnotu True alebo False: Služba File Storage šifruje všetky systémy súborov a uložené dáta snímok.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19. Ktorá z nasledujúcich možností sa nepoužíva pre službu File Storage?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Veľké dáta a analytika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Ukladací priestor súborov na všeobecné účely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Vysokovýkonné záťaže  </w:t>
      </w:r>
    </w:p>
    <w:p w:rsidR="00DF71F4" w:rsidRDefault="00BC0CFB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MicroServices a Docker</w:t>
      </w:r>
    </w:p>
    <w:p w:rsidR="00DF71F4" w:rsidRDefault="00BC0CFB">
      <w:pPr>
        <w:pStyle w:val="BodyText"/>
      </w:pPr>
      <w:r>
        <w:t>20. Ktorá z nasledujúcich volieb nepredstavuje predvolené voľby exportu NFS počas vytvárania systému súborov?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Zdroj: 0.0.0.0/0 (Všetko)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Prístup: Čítanie a zápis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Požadovať privilegovaný zdrojový port: Pravda  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Squash identity: Žiadne</w:t>
      </w:r>
    </w:p>
    <w:p w:rsidR="00DF71F4" w:rsidRDefault="00BC0CFB">
      <w:pPr>
        <w:pStyle w:val="BodyText"/>
      </w:pPr>
      <w:r>
        <w:t>21. Ktorá z nasledujúcich funkcií predstavuje funkcie podporované objektovým ukladacím priestorom?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Vopred autentifikované požiadavky na prístup k objektu bez dokladov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Nahrávanie obsahu typu multipart pre jeden objekt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Pravidlá životného cyklu na automatickú archiváciu alebo odstránenie objektov po zadanom počte dní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Všetky vyššie uvedené  </w:t>
      </w:r>
    </w:p>
    <w:p w:rsidR="00DF71F4" w:rsidRDefault="00BC0CFB">
      <w:pPr>
        <w:pStyle w:val="BodyText"/>
      </w:pPr>
      <w:r>
        <w:t>22. Ktoré z nasledujúcich tvrdení je nepravda o objektovom ukladacom priestore?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Ideálne na ukladanie neobmedzeného množstva neštruktúrovaných dát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Minimálna dĺžka zachovania archivačného ukladacieho priestoru je 30 dní  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Ponúka dve odlišné triedy úložiska, "hot storage" a "cold storage"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Na šifrovanie objektových dát používa 256-bitový algoritmus AES-256 (Advanced Encryption Standard)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23. Uveďte, či je nasledujúci príkaz True alebo False: Objektový ukladací priestor podporuje súkromný prístup zo zdrojov služby Oracle Cloud Infrastructure v sieti VCN cez internetovú bránu.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24. Ktoré z nasledujúcich sú spoločné stratégie vyrovnávania záťaže v službe OCI?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Round Robin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Najmenej pripojení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Pripojenie IP adresy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Všetky vyššie uvedené  </w:t>
      </w:r>
    </w:p>
    <w:p w:rsidR="00DF71F4" w:rsidRDefault="00BC0CFB">
      <w:pPr>
        <w:pStyle w:val="BodyText"/>
      </w:pPr>
      <w:r>
        <w:t>25. Ktorá z nasledujúcich možností nie je podporovanou konfiguráciou zariadenia na vyrovnávanie záťaže v službe OCI?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1000 Mbps  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400 Mbps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100 Mbps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8000 Mbps</w:t>
      </w:r>
    </w:p>
    <w:p w:rsidR="00DF71F4" w:rsidRDefault="00BC0CFB">
      <w:pPr>
        <w:pStyle w:val="BodyText"/>
      </w:pPr>
      <w:r>
        <w:t>26. Ktorý z nasledujúcich protokolov nie je podporovaný v zariadení na vyrovnávanie záťaže OCI?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WebSocket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TCP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UDP  </w:t>
      </w:r>
    </w:p>
    <w:p w:rsidR="00DF71F4" w:rsidRDefault="00BC0CFB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HTTP/1.1</w:t>
      </w:r>
    </w:p>
    <w:p w:rsidR="00DF71F4" w:rsidRDefault="00BC0CFB">
      <w:pPr>
        <w:pStyle w:val="BodyText"/>
      </w:pPr>
      <w:r>
        <w:t>27. Ktoré z nasledujúcich protokolov používajú aplikačné servery na pripojenie k objektovému ukladaciemu priestoru OCI prostredníctvom brány ukladacieho priestoru?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NFSv1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NFSv4  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NFSv2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NFSv3</w:t>
      </w:r>
    </w:p>
    <w:p w:rsidR="00DF71F4" w:rsidRDefault="00BC0CFB">
      <w:pPr>
        <w:pStyle w:val="BodyText"/>
      </w:pPr>
      <w:r>
        <w:t>28. Ktorá z nasledujúcich možností nie je vhodná na prenos dát z lokálneho zákazníka do služby Oracle Cloud?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Brána služieb  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Brána ukladacieho priestoru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VPN cez internet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FastConnect</w:t>
      </w:r>
    </w:p>
    <w:p w:rsidR="00DF71F4" w:rsidRDefault="00BC0CFB">
      <w:pPr>
        <w:pStyle w:val="BodyText"/>
      </w:pPr>
      <w:r>
        <w:lastRenderedPageBreak/>
        <w:t>29. Uveďte, či je nasledujúci príkaz True alebo False: Bránu ukladacieho priestoru je možné použiť ako server ukladacieho priestoru pripojeného k sieti na všeobecné účely.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30. Ktorá z nasledujúcich verzií nie je jednou z verzií databázy Exadata?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Polovičný rack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Celý rack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Štvrtinový rack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Šestnásty rack  </w:t>
      </w:r>
    </w:p>
    <w:p w:rsidR="00DF71F4" w:rsidRDefault="00BC0CFB">
      <w:pPr>
        <w:pStyle w:val="BodyText"/>
      </w:pPr>
      <w:r>
        <w:t>31. Chcete využiť spravovanú ponuku RAC v službe OCI. Ktorú spravovanú databázovú službu si vyberiete?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Bare Metal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1-uzlový virtuálny počítač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Systém Exadata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2-uzlový virtuálny počítač  </w:t>
      </w:r>
    </w:p>
    <w:p w:rsidR="00DF71F4" w:rsidRDefault="00BC0CFB">
      <w:pPr>
        <w:pStyle w:val="BodyText"/>
      </w:pPr>
      <w:r>
        <w:t>32. Ktorá z nasledujúcich volieb predstavuje správnu metriku používanú na tvorbu cien databázy založenej na virtuálnom počítači v službe OCI?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za minútu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OCPU za hodinu  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za mesiac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za rok</w:t>
      </w:r>
    </w:p>
    <w:p w:rsidR="00DF71F4" w:rsidRDefault="00BC0CFB">
      <w:pPr>
        <w:pStyle w:val="BodyText"/>
      </w:pPr>
      <w:r>
        <w:t>33. Ktorý z nasledujúcich portov je predvolený pre autonómnu databázu?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1524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1520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1522  </w:t>
      </w:r>
    </w:p>
    <w:p w:rsidR="00DF71F4" w:rsidRDefault="00BC0CFB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1521</w:t>
      </w:r>
    </w:p>
    <w:p w:rsidR="00DF71F4" w:rsidRDefault="00BC0CFB">
      <w:pPr>
        <w:pStyle w:val="BodyText"/>
      </w:pPr>
      <w:r>
        <w:t>34. Koľko preddefinovaných názvov služieb je nakonfigurovaných v súbore tnsnames.ora pre jednu inštanciu databázy Autonomous Transaction Processing a na čo sa nazývajú?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Dve - sú ATP a ADW.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Päť - sú tpurgentné, tp, vysoké, stredné a nízke.  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Žiadne - v súbore tnsnames.ora nie sú žiadne preddefinované názvy služieb.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Tri - sú vysoké, stredné a nízke.</w:t>
      </w:r>
    </w:p>
    <w:p w:rsidR="00DF71F4" w:rsidRDefault="00BC0CFB">
      <w:pPr>
        <w:pStyle w:val="BodyText"/>
      </w:pPr>
      <w:r>
        <w:lastRenderedPageBreak/>
        <w:t>35. Ktoré z nasledujúcich vyhlásení sú nepravdivé o autonómnej databáze?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Podporuje pripojenie cez SQL*Net, JDBC, ODBC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Oracle Autonomous Database možno nasadiť 2 spôsobmi - vyhradenými a servermi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Podporuje služby Oracle Cloud Services ako Analytics Cloud Service, GoldenGate Cloud Service, Integration Cloud Service a ďalšie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Škálovanie na požiadanie nie je podporované pre databázu Autonomous Database  </w:t>
      </w:r>
    </w:p>
    <w:p w:rsidR="00DF71F4" w:rsidRDefault="00BC0CFB">
      <w:pPr>
        <w:pStyle w:val="BodyText"/>
      </w:pPr>
      <w:r>
        <w:t>36. Uveďte, či je nasledujúci príkaz Pravda alebo Nepravda: ATP na ukladanie dát vo formáte stĺpca je ideálny na spracovanie transakcií.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BC0CFB">
      <w:pPr>
        <w:pStyle w:val="BodyText"/>
      </w:pPr>
      <w:r>
        <w:t>37. Ktorá z nasledujúcich vlastností nie je charakteristická pre audit aktivity používateľov?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Zhromažďovanie dát auditu z databáz a sledovanie citlivých operácií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Komplexné hodnotenie bezpečnostných parametrov  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Poskytovanie stratégií auditu, súladu a výstrah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Zhromažďovanie dát auditu z databáz a sledovanie citlivých operácií</w:t>
      </w:r>
    </w:p>
    <w:p w:rsidR="00DF71F4" w:rsidRDefault="00BC0CFB">
      <w:pPr>
        <w:pStyle w:val="BodyText"/>
      </w:pPr>
      <w:r>
        <w:t>38. Ktorá z nasledujúcich možností nie je vhodná pre DataSafe?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Hodnotenie bezpečnosti a používateľov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Ochrana údajov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Obnovenie po havárii  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Obnova citlivých dát</w:t>
      </w:r>
    </w:p>
    <w:p w:rsidR="00DF71F4" w:rsidRDefault="00BC0CFB">
      <w:pPr>
        <w:pStyle w:val="BodyText"/>
      </w:pPr>
      <w:r>
        <w:t>39. Uveďte, či je nasledujúci príkaz Pravda alebo Nepravda: Maskovanie dát je potrebné na analýzu toho, ktoré typy dát sa nachádzajú v databáze a aké sú citlivé dáta.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BC0CFB">
      <w:pPr>
        <w:pStyle w:val="BodyText"/>
      </w:pPr>
      <w:r>
        <w:t>40. Uveďte, či je nasledujúci príkaz True alebo False: Po vytvorení zóny sa automaticky vygenerujú predvolené záznamy NS a SOA.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Nepravda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41. Ktorý z nasledujúcich záznamov nie je jedným z podporovaných záznamov DNS pre službu DNS?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CERT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DNSKEY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NAPTR  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TXT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42. Ktorý z nasledujúcich serverov je DNS server, ktorý prijíma požiadavky na názov webovej lokality alebo URL od používateľov a kontroluje dosiahnuté záznamy získané z autoritatívnych serverov DNS pre priradenú IP adresu?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proofErr w:type="spellStart"/>
      <w:r>
        <w:t>Servery</w:t>
      </w:r>
      <w:proofErr w:type="spellEnd"/>
      <w:r>
        <w:t xml:space="preserve"> </w:t>
      </w:r>
      <w:proofErr w:type="spellStart"/>
      <w:r>
        <w:t>názvov</w:t>
      </w:r>
      <w:proofErr w:type="spellEnd"/>
      <w:r>
        <w:t xml:space="preserve"> TLD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Rekurzívny systém DNS  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Hlavný server DNS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Server rezolvera DNS Stub</w:t>
      </w:r>
    </w:p>
    <w:p w:rsidR="00DF71F4" w:rsidRDefault="00BC0CFB">
      <w:pPr>
        <w:pStyle w:val="BodyText"/>
      </w:pPr>
      <w:r>
        <w:t>43. Ktorá z nasledujúcich možností sa bežne nepoužíva pre riadenie prenosov DNS?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Riadenie na základe transakcií  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Služba s nulovým dátovým prenosom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Migrácia do cloudu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Hybridné prostredie</w:t>
      </w:r>
    </w:p>
    <w:p w:rsidR="00DF71F4" w:rsidRDefault="00BC0CFB">
      <w:pPr>
        <w:pStyle w:val="BodyText"/>
      </w:pPr>
      <w:r>
        <w:t>44. Ktorá z nasledujúcich zložiek nepatrí do služby kontroly zdravotného stavu?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Podradená zóna  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Monitory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Pozorovacie body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Sondy na vyžiadanie</w:t>
      </w:r>
    </w:p>
    <w:p w:rsidR="00DF71F4" w:rsidRDefault="00BC0CFB">
      <w:pPr>
        <w:pStyle w:val="BodyText"/>
      </w:pPr>
      <w:r>
        <w:t>45. Uveďte, či je nasledujúci príkaz Pravda alebo Nepravda: Pre služby s nulovým hodnotením možno použiť podmienené usmerňovanie, aby bolo možné preferované čísla ASN nasmerovať na bezplatné zdroje, zatiaľ čo všetky ostatné prenosy môžu byť nasmerované na platené zdroje.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46. Ktorý z nasledujúcich prípadov nie je bežným prípadom použitia služby OCI WAF?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Ochrana pred útokmi Layer 7 distributed denial-of service (DDoS)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Správa botov - dynamické blokovanie nesprávnych botov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Ochrana pred zaplavením SYN  </w:t>
      </w:r>
    </w:p>
    <w:p w:rsidR="00DF71F4" w:rsidRDefault="00BC0CFB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Ochrana pred skriptovaním medzi lokalitami (XSS) a vkladaním SQL, aktivitami</w:t>
      </w:r>
    </w:p>
    <w:p w:rsidR="00DF71F4" w:rsidRDefault="00BC0CFB">
      <w:pPr>
        <w:pStyle w:val="BodyText"/>
      </w:pPr>
      <w:r>
        <w:lastRenderedPageBreak/>
        <w:t>47. Uveďte, či je nasledujúci príkaz True alebo False: OCI WAF používa na ochranu pred najbežnejšími webovými zraniteľnosťami množinu základných pravidiel OWASP ModSecurity (CRS).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48. Uveďte, či je nasledujúci príkaz True alebo False: OCI WAF nemôže chrániť záťaže pred chýbajúcou zraniteľnosťou riadenia prístupu na úrovni funkcie.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BC0CFB">
      <w:pPr>
        <w:pStyle w:val="BodyText"/>
      </w:pPr>
      <w:r>
        <w:t>49. Ktorá z nasledujúcich možností je typom úlohy správcu prostriedkov?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Plán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Zlikvidovať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Zásobník  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Použiť</w:t>
      </w:r>
    </w:p>
    <w:p w:rsidR="00DF71F4" w:rsidRDefault="00BC0CFB">
      <w:pPr>
        <w:pStyle w:val="BodyText"/>
      </w:pPr>
      <w:r>
        <w:t>50. Ktorú službu Oracle Cloud Infrastructure (OCI) môžete použiť na vytvorenie a správu infraštruktúry?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Služba udalostí OCI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Správca prostriedkov OCI  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Brána API OCI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OCI Container Engine pre Kubernetes</w:t>
      </w:r>
    </w:p>
    <w:p w:rsidR="00DF71F4" w:rsidRDefault="00BC0CFB">
      <w:pPr>
        <w:pStyle w:val="BodyText"/>
      </w:pPr>
      <w:r>
        <w:t>51. Ktorá z nasledujúcich hodnôt predstavuje stav životného cyklu pracovného miesta?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Prijaté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Ukončené  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Ruší sa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Prebieha</w:t>
      </w:r>
    </w:p>
    <w:p w:rsidR="00DF71F4" w:rsidRDefault="00BC0CFB">
      <w:pPr>
        <w:pStyle w:val="BodyText"/>
      </w:pPr>
      <w:r>
        <w:t>52. Ktorá z nasledujúcich možností predstavuje maximálne trvanie, počas ktorého sa správy uchovávajú v službe streamovania OCI?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10 dní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30 dní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7 dní  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15 dní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53. Uveďte, či je nasledujúci príkaz True alebo False: Streamovacia služba OCI je založená na Apache ActiveMQ.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Pravda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Nepravda  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54. Ktorá z nasledujúcich možností predstavuje výhodu streamov?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Konfigurovateľná perzistencia správ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Znova prehrať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Záruky objednávok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Všetky vyššie  </w:t>
      </w:r>
    </w:p>
    <w:p w:rsidR="00DF71F4" w:rsidRDefault="00BC0CFB">
      <w:pPr>
        <w:pStyle w:val="BodyText"/>
      </w:pPr>
      <w:r>
        <w:t>55. Pomocou ktorej služby monitorovania sú monitorované prostriedky?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Stav prostriedkov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Kontrola zdravia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Metrika  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Upozornenia</w:t>
      </w:r>
    </w:p>
    <w:p w:rsidR="00DF71F4" w:rsidRDefault="00DF71F4">
      <w:pPr>
        <w:pStyle w:val="ListParagraph"/>
        <w:widowControl/>
        <w:spacing w:before="0" w:after="160" w:line="259" w:lineRule="auto"/>
        <w:ind w:left="720" w:firstLine="0"/>
        <w:contextualSpacing/>
        <w:jc w:val="left"/>
      </w:pPr>
    </w:p>
    <w:p w:rsidR="00DF71F4" w:rsidRDefault="00BC0CFB">
      <w:pPr>
        <w:pStyle w:val="BodyText"/>
      </w:pPr>
      <w:r>
        <w:t>56. Služba monitorovania používa ktoré z nasledujúcich volieb, aby vás upozornila, keď metrika spĺňa podmienky zadanej prahovej hodnoty pravidla?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Kontrola zdravia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Metrika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Alarmy  </w:t>
      </w:r>
    </w:p>
    <w:p w:rsidR="00DF71F4" w:rsidRDefault="00BC0CF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Upozornenia</w:t>
      </w:r>
    </w:p>
    <w:p w:rsidR="00DF71F4" w:rsidRDefault="00BC0CFB">
      <w:pPr>
        <w:pStyle w:val="BodyText"/>
      </w:pPr>
      <w:r>
        <w:t>57. Funkcia alarmov služby monitorovania pracuje s ktorými službami OCI, aby vás informovala, keď metriky spĺňajú spúšťač zadaný alarmom?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Upozornenia  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Kontrola zdravia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Doručovanie e-mailov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Funkcie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58. Udalosti je možné doručovať len do určitých služieb Oracle Cloud Infrastructure s pravidlom. Pomenujte tieto pravidlá.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Upozornenia  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Úložisko objektov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Funkcie  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Streamovanie  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59. Uveďte, či je nasledujúci príkaz Pravda alebo Nepravda: Služba Oracle Cloud Infrastructure Events vám umožňuje vytvárať automatizáciu na základe zmien stavu prostriedkov v celom prenájme.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60. Služba udalostí obmedzuje počet pravidiel na jeden prenájom?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300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100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50  </w:t>
      </w:r>
    </w:p>
    <w:p w:rsidR="00DF71F4" w:rsidRDefault="00BC0CF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200</w:t>
      </w:r>
    </w:p>
    <w:p w:rsidR="00DF71F4" w:rsidRDefault="00BC0CFB">
      <w:pPr>
        <w:pStyle w:val="BodyText"/>
      </w:pPr>
      <w:r>
        <w:t>61. Pri spúšťaní kontajnera na spúšťanie funkcií Oracle kontajner spúšťa procesy ako ktorý používateľ?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Funkcie Oracle nepoužívajú žiadneho predvoleného používateľa. Je na zodpovednosti administrátora, aby ho zadal.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Funkcie Oracle používajú používateľa fn na spustenie procesu vnútri kontajnera bez pridaných privilégií.  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Funkcie Oracle používajú rovnakého používateľa OCI na spúšťanie ľubovoľného procesu v kontajneri bez pridaných privilégií.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Funkcie Oracle používajú koreň na spúšťanie ľubovoľného procesu v kontajneri.</w:t>
      </w:r>
    </w:p>
    <w:p w:rsidR="00DF71F4" w:rsidRDefault="00BC0CFB">
      <w:pPr>
        <w:pStyle w:val="BodyText"/>
      </w:pPr>
      <w:r>
        <w:t>62. Aká je maximálna prahová hodnota pamäte pre funkcie Oracle?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512 MB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2048 MB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4096 MB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1024 MB  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63. Aký je maximálny časový limit vykonania pre funkcie Oracle?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120 sekúnd  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sekúnd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3600 sekúnd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minút</w:t>
      </w:r>
    </w:p>
    <w:p w:rsidR="00DF71F4" w:rsidRDefault="00BC0CFB">
      <w:pPr>
        <w:pStyle w:val="BodyText"/>
      </w:pPr>
      <w:r>
        <w:t>64. Ktorý z nasledujúcich príkazov dockera sa nevyžaduje na uloženie obrazu do služby OCIR?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docker push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docker prihlásenie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značka docker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docker uložiť  </w:t>
      </w:r>
    </w:p>
    <w:p w:rsidR="00DF71F4" w:rsidRDefault="00BC0CFB">
      <w:pPr>
        <w:pStyle w:val="BodyText"/>
      </w:pPr>
      <w:r>
        <w:t>65. Ktorá z nasledujúcich možností je potrebná na prihlásenie do registra kontajnerov OCIR?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Kľúče API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Tokeny autentifikácie  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Utajené kľúče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OAuth Doklady klienta 2.0</w:t>
      </w:r>
    </w:p>
    <w:p w:rsidR="00DF71F4" w:rsidRDefault="00BC0CFB">
      <w:pPr>
        <w:pStyle w:val="BodyText"/>
      </w:pPr>
      <w:r>
        <w:t>66. Inžinier DevOps chce do služby OCIR vkladať obraz a tento obraz musí byť vhodne označený, aby bolo možné identifikovať register dockerov, do ktorého je potrebné vkladať obraz. Ktorá z nasledujúcich možností sa pridá do značky obrázka?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Priestor názvov objektového ukladacieho priestoru  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OCID prenájmu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Názov prenájmu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Tokeny autentifikácie</w:t>
      </w:r>
    </w:p>
    <w:p w:rsidR="00DF71F4" w:rsidRDefault="00BC0CFB">
      <w:pPr>
        <w:pStyle w:val="BodyText"/>
      </w:pPr>
      <w:r>
        <w:t>67. Ktoré z nasledujúcich príkazov je nesprávne v službe Oracle Container Engine for kubernetes (OKE)?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Pracovné uzly v spoločnej oblasti uzlov môžu mať rôzne konfigurácie  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Počet uzlov v spoločnej oblasti uzlov je možné škálovať nahor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Voľba rýchleho vytvorenia pre klaster kubernetes vytvorí siete VCN, bránu NAT a internetovú bránu spolu s klastrom kubernetes a pracovnými uzlami</w:t>
      </w:r>
    </w:p>
    <w:p w:rsidR="00DF71F4" w:rsidRDefault="00BC0CFB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Platiť musíte len za pracovné uzly. Za hlavný uzol nie je potrebné platiť</w:t>
      </w:r>
    </w:p>
    <w:p w:rsidR="00DF71F4" w:rsidRDefault="00BC0CFB">
      <w:pPr>
        <w:pStyle w:val="BodyText"/>
      </w:pPr>
      <w:r>
        <w:t>68. Ktorá z nasledujúcich položiek nie je metódou na vytvorenie klastra kubernetes?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OCI SDK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Rýchle vytvorenie - konzola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Skript nástroja Terraform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Vlastná konzola na vytvorenie</w:t>
      </w:r>
    </w:p>
    <w:p w:rsidR="00DF71F4" w:rsidRDefault="00BC0CFB">
      <w:pPr>
        <w:pStyle w:val="BodyText"/>
      </w:pPr>
      <w:r>
        <w:lastRenderedPageBreak/>
        <w:t>69. Uveďte, či je nasledujúci príkaz True alebo False: Pracovné uzly klastra Kubernetes by mali byť umiestnené v súkromnej podsieti siete VCN.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70. V prenájme máte nasledujúcu štruktúru kompartmentu: koreňový kompartment-&amp;gt;školenie-&amp;gt;školenie-sub1-&amp;gt;školenie-sub2 Vytvoríte stratégiu v koreňovom kompartmente, ktorá povolí predvolenému administrátorovi konta (administrátorovi) spravovať blokové zväzky v trénovaní kompartmentu-sub2. Akú politiku by ste napísali, aby ste splnili túto požiadavku?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Povoliť administrátorovi skupiny spravovať skupinu zväzkov v školení o kompartmente-sub2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Povoliť administrátorovi skupiny spravovať skupinu zväzkov v trénovaní kompartmentu-sub1: školenie-sub2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Povoliť administrátorovi skupiny spravovať skupinu zväzkov v koreňovom kompartmente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Povoliť administrátorovi skupiny spravovať skupinu zväzkov v školení ku kompartmentu: Training-sub1: Training-sub2  </w:t>
      </w:r>
    </w:p>
    <w:p w:rsidR="00DF71F4" w:rsidRDefault="00DF71F4"/>
    <w:p w:rsidR="00DF71F4" w:rsidRDefault="00BC0CFB">
      <w:pPr>
        <w:pStyle w:val="BodyText"/>
      </w:pPr>
      <w:r>
        <w:t>71. Vytvorili ste nový kompartment s názvom Production na hosťovanie niektorých produkčných aplikácií. Používatelia ste tiež vytvorili vo svojom prenájme a pridali ich do skupiny s názvom Production_Group. Vaši používatelia stále nemajú prístup do produkčného kompartmentu. Ako môžete vyriešiť túto situáciu?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Napíšte stratégiu IAM pre každého konkrétneho používateľa, ktorý mu udelí prístup do produkčného kompartmentu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Zadajte stratégiu IAM pre produkčnú skupinu, ktorá jej udelí prístup do produkčného kompartmentu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Každý kompartment, ktorý predvolene vytvoríte, získa určitú množinu stratégií. Nie je potrebná žiadna ďalšia akcia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Používatelia získajú automatický prístup ku všetkým kompartmentom. Nie je potrebná žiadna ďalšia akcia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72. Máte inštanciu spustenú v kompartmente vývoja, ktorá potrebuje uskutočňovať volania API s inými službami OCI. Nechcete však konfigurovať doklady používateľa ani ukladať konfiguračný súbor v inštancii. Ako môžete splniť túto požiadavku?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Ak chcete zahrnúť inštanciu, vytvorte dynamickú skupinu s pravidlami párovania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Inštancie sú zabezpečené principály, preto nemôžu uskutočňovať volania na iné služby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Inštancie môžu automaticky uskutočňovať volania do iných služieb OCI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Vytvorte dynamickú skupinu s pravidlami párovania, ktorá zahrnie vašu inštanciu a vytvorí stratégiu pre túto dynamickú skupinu  </w:t>
      </w:r>
    </w:p>
    <w:p w:rsidR="00DF71F4" w:rsidRDefault="00BC0CFB">
      <w:pPr>
        <w:pStyle w:val="BodyText"/>
      </w:pPr>
      <w:r>
        <w:t>73. Pomocou služby OCI Vault môžete vytvárať a spravovať nasledujúce prostriedky?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Adresáre vault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Zväzky blokového ukladacieho priestoru a sektory objektového ukladacieho priestoru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Kľúče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Utajené kľúče  </w:t>
      </w:r>
    </w:p>
    <w:p w:rsidR="00DF71F4" w:rsidRDefault="00BC0CFB">
      <w:pPr>
        <w:pStyle w:val="BodyText"/>
      </w:pPr>
      <w:r>
        <w:t>74. Uveďte, či je nasledujúci príkaz True alebo False: Po odstránení trezora kľúčov ho nemožno obnoviť.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75. Ktoré z nasledujúcich funkcií sú funkcie služby Key Management (OCI Vault)? Vyberte všetko, čo sa použije.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Rotácia kľúča automaticky znova zašifruje dáta, ktoré boli zašifrované pomocou starej verzie kľúča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Vytváranie kľúčov/rýchla deaktivácia kľúčov (takže ich nemôže používať nikto)/opätovná aktivácia deaktivovaných kľúčov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Rotácia kľúčov na účely splnenia požiadaviek regulačnej správy (governance) bezpečnosti a súladu s predpismi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Vytváranie vysokodostupných trezorov kľúčov na bezpečné ukladanie šifrovacích kľúčov  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76. Rozpočty OCI sa používajú na dosiahnutie niektorej z nasledujúcich možností? Vyberte 2 najlepšie možnosti.</w:t>
      </w:r>
    </w:p>
    <w:p w:rsidR="00DF71F4" w:rsidRDefault="00BC0CFB">
      <w:pPr>
        <w:pStyle w:val="P68B1DB1-Normal11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Pozastaviť účet pri prekročení rozpočtovej prahovej hodnoty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Nepovoliť vytváranie ďalších prostriedkov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Nastavte výstrahy v rozpočtoch na preddefinované prahové hodnoty, aby ste dostali upozornenie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Sledujte skutočné a prognózované výdavky za celý prenájom alebo na kompartment  </w:t>
      </w:r>
    </w:p>
    <w:p w:rsidR="00DF71F4" w:rsidRDefault="00BC0CFB">
      <w:pPr>
        <w:pStyle w:val="BodyText"/>
      </w:pPr>
      <w:r>
        <w:t>77. Pomocou administrátorov kvót kompartmentov môžu obmedziť používanie prostriedkov, na ktoré z nasledujúcich položiek?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Chybová doména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Doména dostupnosti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Kompartment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Oblasť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Prenájom  </w:t>
      </w:r>
    </w:p>
    <w:p w:rsidR="00DF71F4" w:rsidRDefault="00BC0CFB">
      <w:pPr>
        <w:pStyle w:val="BodyText"/>
      </w:pPr>
      <w:r>
        <w:t>78. Môžete filtrovať náklady podľa ktorého z nasledujúcich položiek? Vyberte všetko, čo sa použije.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Oblasť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Doména dostupnosti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Značky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Kompartment  </w:t>
      </w:r>
    </w:p>
    <w:p w:rsidR="00DF71F4" w:rsidRDefault="00DF71F4">
      <w:pPr>
        <w:spacing w:before="0" w:after="0" w:line="240" w:lineRule="auto"/>
        <w:jc w:val="left"/>
      </w:pPr>
    </w:p>
    <w:p w:rsidR="00DF71F4" w:rsidRDefault="00BC0CFB">
      <w:pPr>
        <w:pStyle w:val="BodyText"/>
      </w:pPr>
      <w:r>
        <w:t>79. V zmluve o úrovni poskytovaných služieb Oracle Cloud Infrastructure nájdete ktorá z nasledujúcich možností?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Dostupnosť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Udržateľnosť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Riadenie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Výkon  </w:t>
      </w:r>
    </w:p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80. Uveďte, či je nasledujúci príkaz Pravda alebo Nepravda: Ak chcete odoslať požiadavku na servis, musíte mať platné konto CSI a podpory.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Pravda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Nepravda</w:t>
      </w:r>
    </w:p>
    <w:p w:rsidR="00DF71F4" w:rsidRDefault="00BC0CFB">
      <w:pPr>
        <w:pStyle w:val="BodyText"/>
      </w:pPr>
      <w:r>
        <w:t>81. Kde nájdete svoj identifikátor zákazníckej podpory?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Uvítací list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 dokumente zmluvy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Stránka detailov prenájmu v konzole OCI  </w:t>
      </w:r>
    </w:p>
    <w:p w:rsidR="00DF71F4" w:rsidRDefault="00BC0CFB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Nič z vyššie uvedeného</w:t>
      </w:r>
    </w:p>
    <w:p w:rsidR="00DF71F4" w:rsidRDefault="00BC0CFB">
      <w:pPr>
        <w:pStyle w:val="BodyText"/>
      </w:pPr>
      <w:r>
        <w:t>82. Ktorý z nasledujúcich princípov návrhu použijete na nasadenie, prevádzku a bezpečné používanie aplikácií v službe Oracle Cloud Infrastructure?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Implementovať zásady najmenšieho privilégia a oddelenia povinností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Ochrana uložených a prenášaných dát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Pochopenie modelu zodpovednosti za zdieľanú bezpečnosť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Implementovať viacvrstvové bezpečnostné mechanizmy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Všetky vyššie uvedené  </w:t>
      </w:r>
    </w:p>
    <w:p w:rsidR="00DF71F4" w:rsidRDefault="00BC0CFB">
      <w:pPr>
        <w:pStyle w:val="BodyText"/>
      </w:pPr>
      <w:r>
        <w:t>83. Keď zákazníci nasadzujú svoje záťaže v službe Oracle Cloud Infrastructure, zodpovedajú za ktoré z nasledujúcich možností? Vyberte všetko, čo sa použije.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Nastavenie silných stratégií IAM  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Doklady používateľa vrátane silného hesla, obnovenia hesla, zabezpečeného prístupu používateľov k OCI  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Správa kľúčov  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Izolácia výpočtovej, virtuálnej cloudovej siete a ukladacieho priestoru a fyzickej bezpečnosti</w:t>
      </w:r>
    </w:p>
    <w:p w:rsidR="00DF71F4" w:rsidRDefault="00DF71F4"/>
    <w:p w:rsidR="00BC0CFB" w:rsidRDefault="00BC0CFB">
      <w:pPr>
        <w:spacing w:before="0" w:after="0" w:line="240" w:lineRule="auto"/>
        <w:jc w:val="left"/>
      </w:pPr>
      <w:r>
        <w:br w:type="page"/>
      </w:r>
    </w:p>
    <w:p w:rsidR="00DF71F4" w:rsidRDefault="00BC0CFB">
      <w:pPr>
        <w:pStyle w:val="BodyText"/>
      </w:pPr>
      <w:r>
        <w:lastRenderedPageBreak/>
        <w:t>84. Ktorý z nasledujúcich komponentov OCI použijete na implementáciu zabezpečenia siete?</w:t>
      </w:r>
    </w:p>
    <w:p w:rsidR="00DF71F4" w:rsidRDefault="00BC0CFB">
      <w:pPr>
        <w:pStyle w:val="P68B1DB1-BodyText10"/>
      </w:pPr>
      <w:r>
        <w:t>(Vyberte všetky správne odpovede)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Brány  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DNS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Virtuálna cloudová sieť  </w:t>
      </w:r>
    </w:p>
    <w:p w:rsidR="00DF71F4" w:rsidRDefault="00BC0CFB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Zoznamy zabezpečenia  </w:t>
      </w:r>
    </w:p>
    <w:p w:rsidR="00DF71F4" w:rsidRDefault="00DF71F4"/>
    <w:p w:rsidR="00DF71F4" w:rsidRDefault="00DF71F4">
      <w:pPr>
        <w:pStyle w:val="BodyText"/>
      </w:pPr>
    </w:p>
    <w:p w:rsidR="00DF71F4" w:rsidRDefault="00BC0CFB">
      <w:pPr>
        <w:pStyle w:val="Heading2"/>
      </w:pPr>
      <w:bookmarkStart w:id="5" w:name="_Toc159605293"/>
      <w:r>
        <w:t>REFERENCIE</w:t>
      </w:r>
      <w:bookmarkEnd w:id="5"/>
      <w:r>
        <w:t xml:space="preserve"> </w:t>
      </w:r>
    </w:p>
    <w:p w:rsidR="00DF71F4" w:rsidRDefault="00BC0CFB">
      <w:r>
        <w:t xml:space="preserve">[1]  Cloud cOmputing pre digitálne vzdelávanie INnovation, prístup: 18.09.2022. [Online]. Dostupné: </w:t>
      </w:r>
      <w:hyperlink r:id="rId13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DF71F4" w:rsidRDefault="00DF71F4"/>
    <w:sectPr w:rsidR="00DF71F4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C1" w:rsidRDefault="00B66AC1">
      <w:pPr>
        <w:spacing w:before="0" w:after="0" w:line="240" w:lineRule="auto"/>
      </w:pPr>
      <w:r>
        <w:separator/>
      </w:r>
    </w:p>
  </w:endnote>
  <w:endnote w:type="continuationSeparator" w:id="0">
    <w:p w:rsidR="00B66AC1" w:rsidRDefault="00B66A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CFB" w:rsidRDefault="00BC0CFB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C1" w:rsidRDefault="00B66AC1">
      <w:pPr>
        <w:spacing w:before="0" w:after="0" w:line="240" w:lineRule="auto"/>
      </w:pPr>
      <w:r>
        <w:separator/>
      </w:r>
    </w:p>
  </w:footnote>
  <w:footnote w:type="continuationSeparator" w:id="0">
    <w:p w:rsidR="00B66AC1" w:rsidRDefault="00B66A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CFB" w:rsidRDefault="00BC0CFB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editId="4579FD94">
              <wp:simplePos x="0" y="0"/>
              <wp:positionH relativeFrom="margin">
                <wp:align>right</wp:align>
              </wp:positionH>
              <wp:positionV relativeFrom="paragraph">
                <wp:posOffset>209844</wp:posOffset>
              </wp:positionV>
              <wp:extent cx="4015105" cy="299720"/>
              <wp:effectExtent l="0" t="0" r="4445" b="5080"/>
              <wp:wrapSquare wrapText="bothSides" distT="0" distB="0" distL="114300" distR="114300"/>
              <wp:docPr id="38" name="Freeform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5105" cy="299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15105" h="675640" extrusionOk="0">
                            <a:moveTo>
                              <a:pt x="0" y="0"/>
                            </a:moveTo>
                            <a:lnTo>
                              <a:pt x="0" y="675640"/>
                            </a:lnTo>
                            <a:lnTo>
                              <a:pt x="4015105" y="675640"/>
                            </a:lnTo>
                            <a:lnTo>
                              <a:pt x="401510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BC0CFB" w:rsidRDefault="00BC0CFB">
                          <w:pPr>
                            <w:pStyle w:val="P68B1DB1-Normal12"/>
                            <w:textDirection w:val="btLr"/>
                          </w:pPr>
                          <w:r>
                            <w:t>Projekt financovaný: Erasmus+/Kľúčová akcia 2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8" o:spid="_x0000_s1026" style="position:absolute;left:0;text-align:left;margin-left:264.95pt;margin-top:16.5pt;width:316.15pt;height:23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015105,675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" adj="-11796480,,5400" path="m,l,675640r4015105,l4015105,,,xe" stroked="f">
              <v:stroke joinstyle="miter"/>
              <v:formulas/>
              <v:path arrowok="t" o:extrusionok="f" o:connecttype="custom" textboxrect="0,0,4015105,675640"/>
              <v:textbox inset="7pt,1.2694mm,7pt,1.2694mm">
                <w:txbxContent>
                  <w:p w:rsidR="00BC0CFB" w:rsidRDefault="00BC0CFB">
                    <w:pPr>
                      <w:pStyle w:val="P68B1DB1-Normal12"/>
                      <w:textDirection w:val="btLr"/>
                    </w:pPr>
                    <w:r>
                      <w:t>Projekt financovaný: Erasmus+/Kľúčová akcia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BC0CFB" w:rsidRDefault="00BC0CFB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BC0CFB" w:rsidRDefault="00BC0CFB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0CFB" w:rsidRDefault="00BC0CFB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BC0CFB" w:rsidRDefault="00BC0CFB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C0CFB" w:rsidRDefault="00BC0CFB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BC0CFB" w:rsidRDefault="00BC0CFB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53"/>
    <w:multiLevelType w:val="hybridMultilevel"/>
    <w:tmpl w:val="D47AC85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6703D"/>
    <w:multiLevelType w:val="hybridMultilevel"/>
    <w:tmpl w:val="2EEC883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87680"/>
    <w:multiLevelType w:val="hybridMultilevel"/>
    <w:tmpl w:val="C68A5A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B24BA"/>
    <w:multiLevelType w:val="hybridMultilevel"/>
    <w:tmpl w:val="73E8F71C"/>
    <w:lvl w:ilvl="0" w:tplc="B83ED2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6267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C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0F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8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AF0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E8F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87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7AE6"/>
    <w:multiLevelType w:val="hybridMultilevel"/>
    <w:tmpl w:val="1938B9C4"/>
    <w:lvl w:ilvl="0" w:tplc="4D02DC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822E8B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D2A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61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E9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F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2B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7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7CA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F6DFA"/>
    <w:multiLevelType w:val="hybridMultilevel"/>
    <w:tmpl w:val="D272194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3C36"/>
    <w:multiLevelType w:val="hybridMultilevel"/>
    <w:tmpl w:val="39666EA8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C5782"/>
    <w:multiLevelType w:val="hybridMultilevel"/>
    <w:tmpl w:val="C738651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6123"/>
    <w:multiLevelType w:val="hybridMultilevel"/>
    <w:tmpl w:val="7DF6CBD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2502D"/>
    <w:multiLevelType w:val="hybridMultilevel"/>
    <w:tmpl w:val="44EC775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C0D32"/>
    <w:multiLevelType w:val="hybridMultilevel"/>
    <w:tmpl w:val="5C6AA57A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F124B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1E0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41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ACC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C1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A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0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7ABC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60414"/>
    <w:multiLevelType w:val="hybridMultilevel"/>
    <w:tmpl w:val="6832C68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02981"/>
    <w:multiLevelType w:val="hybridMultilevel"/>
    <w:tmpl w:val="F3A2368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C01AF"/>
    <w:multiLevelType w:val="hybridMultilevel"/>
    <w:tmpl w:val="8278A91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C3F8A"/>
    <w:multiLevelType w:val="hybridMultilevel"/>
    <w:tmpl w:val="948072C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F7AFD"/>
    <w:multiLevelType w:val="hybridMultilevel"/>
    <w:tmpl w:val="E94A4D5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0F1E6"/>
    <w:multiLevelType w:val="hybridMultilevel"/>
    <w:tmpl w:val="597ECA1C"/>
    <w:lvl w:ilvl="0" w:tplc="39862C7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5BE7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8C1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0C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8F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327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8D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40E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2AD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6"/>
  </w:num>
  <w:num w:numId="11">
    <w:abstractNumId w:val="0"/>
  </w:num>
  <w:num w:numId="12">
    <w:abstractNumId w:val="8"/>
  </w:num>
  <w:num w:numId="13">
    <w:abstractNumId w:val="12"/>
  </w:num>
  <w:num w:numId="14">
    <w:abstractNumId w:val="9"/>
  </w:num>
  <w:num w:numId="15">
    <w:abstractNumId w:val="6"/>
  </w:num>
  <w:num w:numId="16">
    <w:abstractNumId w:val="14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Mq8FAOm5124tAAAA"/>
  </w:docVars>
  <w:rsids>
    <w:rsidRoot w:val="001968CD"/>
    <w:rsid w:val="000139CA"/>
    <w:rsid w:val="00047C2A"/>
    <w:rsid w:val="000646B7"/>
    <w:rsid w:val="00072090"/>
    <w:rsid w:val="00072C46"/>
    <w:rsid w:val="00074D72"/>
    <w:rsid w:val="00094194"/>
    <w:rsid w:val="00094DE3"/>
    <w:rsid w:val="00096068"/>
    <w:rsid w:val="000A57DB"/>
    <w:rsid w:val="000B36F2"/>
    <w:rsid w:val="000B3803"/>
    <w:rsid w:val="000C1247"/>
    <w:rsid w:val="000C3FBF"/>
    <w:rsid w:val="000F0EE4"/>
    <w:rsid w:val="000F4C14"/>
    <w:rsid w:val="00114469"/>
    <w:rsid w:val="00114F8F"/>
    <w:rsid w:val="00121457"/>
    <w:rsid w:val="00123F2F"/>
    <w:rsid w:val="00133F50"/>
    <w:rsid w:val="0014784A"/>
    <w:rsid w:val="00151A20"/>
    <w:rsid w:val="00161804"/>
    <w:rsid w:val="001707C2"/>
    <w:rsid w:val="0017134C"/>
    <w:rsid w:val="00173BAC"/>
    <w:rsid w:val="00174146"/>
    <w:rsid w:val="00182EBF"/>
    <w:rsid w:val="001968CD"/>
    <w:rsid w:val="001A1CA7"/>
    <w:rsid w:val="001A6C9D"/>
    <w:rsid w:val="001B0A69"/>
    <w:rsid w:val="001B0EE3"/>
    <w:rsid w:val="001B2E4A"/>
    <w:rsid w:val="001B6E34"/>
    <w:rsid w:val="001C1528"/>
    <w:rsid w:val="001C681A"/>
    <w:rsid w:val="001C6D4C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761F5"/>
    <w:rsid w:val="002804DD"/>
    <w:rsid w:val="00280917"/>
    <w:rsid w:val="00285D29"/>
    <w:rsid w:val="002919FC"/>
    <w:rsid w:val="002B5DC1"/>
    <w:rsid w:val="002D219B"/>
    <w:rsid w:val="002D2435"/>
    <w:rsid w:val="002D439E"/>
    <w:rsid w:val="002E55F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75767"/>
    <w:rsid w:val="003A1BD2"/>
    <w:rsid w:val="003B4275"/>
    <w:rsid w:val="003B79BE"/>
    <w:rsid w:val="003D777A"/>
    <w:rsid w:val="003F7BFF"/>
    <w:rsid w:val="00400517"/>
    <w:rsid w:val="00410190"/>
    <w:rsid w:val="00412E18"/>
    <w:rsid w:val="004200E0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3CA3"/>
    <w:rsid w:val="004A710B"/>
    <w:rsid w:val="004D4FD4"/>
    <w:rsid w:val="004E5F9C"/>
    <w:rsid w:val="004F5154"/>
    <w:rsid w:val="005060A4"/>
    <w:rsid w:val="0052119F"/>
    <w:rsid w:val="00524706"/>
    <w:rsid w:val="0053214C"/>
    <w:rsid w:val="00534E3A"/>
    <w:rsid w:val="00567AAD"/>
    <w:rsid w:val="00595E7B"/>
    <w:rsid w:val="005A1818"/>
    <w:rsid w:val="005A5BE9"/>
    <w:rsid w:val="005B0B38"/>
    <w:rsid w:val="005B3A0B"/>
    <w:rsid w:val="005C7536"/>
    <w:rsid w:val="005D0A84"/>
    <w:rsid w:val="005D39B4"/>
    <w:rsid w:val="005D4688"/>
    <w:rsid w:val="005D5BE1"/>
    <w:rsid w:val="005E097A"/>
    <w:rsid w:val="005E7BCB"/>
    <w:rsid w:val="005F2C71"/>
    <w:rsid w:val="005F5FF3"/>
    <w:rsid w:val="00600BF2"/>
    <w:rsid w:val="00605A18"/>
    <w:rsid w:val="00612FE2"/>
    <w:rsid w:val="00620B5B"/>
    <w:rsid w:val="00626F12"/>
    <w:rsid w:val="00652264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454D"/>
    <w:rsid w:val="006B7CD5"/>
    <w:rsid w:val="007050A7"/>
    <w:rsid w:val="007126D4"/>
    <w:rsid w:val="00715B60"/>
    <w:rsid w:val="00724A79"/>
    <w:rsid w:val="007335C3"/>
    <w:rsid w:val="00734AB8"/>
    <w:rsid w:val="00736963"/>
    <w:rsid w:val="00740367"/>
    <w:rsid w:val="00741367"/>
    <w:rsid w:val="007457D5"/>
    <w:rsid w:val="007464D0"/>
    <w:rsid w:val="007578DB"/>
    <w:rsid w:val="0076749D"/>
    <w:rsid w:val="007B238C"/>
    <w:rsid w:val="007D005B"/>
    <w:rsid w:val="007D58F5"/>
    <w:rsid w:val="007E60F2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A01EA"/>
    <w:rsid w:val="008A077A"/>
    <w:rsid w:val="008C6724"/>
    <w:rsid w:val="008D038A"/>
    <w:rsid w:val="008D0519"/>
    <w:rsid w:val="008D45B2"/>
    <w:rsid w:val="008F4991"/>
    <w:rsid w:val="008F5790"/>
    <w:rsid w:val="0091111F"/>
    <w:rsid w:val="00911BF4"/>
    <w:rsid w:val="0093156C"/>
    <w:rsid w:val="009551A4"/>
    <w:rsid w:val="0095604D"/>
    <w:rsid w:val="00963CAE"/>
    <w:rsid w:val="0096472D"/>
    <w:rsid w:val="009709E7"/>
    <w:rsid w:val="009773D2"/>
    <w:rsid w:val="009A4378"/>
    <w:rsid w:val="009B7886"/>
    <w:rsid w:val="009C6608"/>
    <w:rsid w:val="009D4A9D"/>
    <w:rsid w:val="00A23D2B"/>
    <w:rsid w:val="00A25432"/>
    <w:rsid w:val="00A31D8B"/>
    <w:rsid w:val="00A371C0"/>
    <w:rsid w:val="00A3772B"/>
    <w:rsid w:val="00A464E4"/>
    <w:rsid w:val="00A671B3"/>
    <w:rsid w:val="00A71112"/>
    <w:rsid w:val="00A71CA9"/>
    <w:rsid w:val="00A81D58"/>
    <w:rsid w:val="00A859E5"/>
    <w:rsid w:val="00A87AE9"/>
    <w:rsid w:val="00A91529"/>
    <w:rsid w:val="00AA438A"/>
    <w:rsid w:val="00AA63C9"/>
    <w:rsid w:val="00AA7BC5"/>
    <w:rsid w:val="00AC4ED5"/>
    <w:rsid w:val="00AC5C98"/>
    <w:rsid w:val="00AD09F9"/>
    <w:rsid w:val="00AD564D"/>
    <w:rsid w:val="00AD66A8"/>
    <w:rsid w:val="00AF06D4"/>
    <w:rsid w:val="00AF2181"/>
    <w:rsid w:val="00B020C2"/>
    <w:rsid w:val="00B168E2"/>
    <w:rsid w:val="00B21246"/>
    <w:rsid w:val="00B21BEC"/>
    <w:rsid w:val="00B25E78"/>
    <w:rsid w:val="00B3489B"/>
    <w:rsid w:val="00B3760F"/>
    <w:rsid w:val="00B3785F"/>
    <w:rsid w:val="00B415AC"/>
    <w:rsid w:val="00B41CDB"/>
    <w:rsid w:val="00B50EFD"/>
    <w:rsid w:val="00B52421"/>
    <w:rsid w:val="00B63B55"/>
    <w:rsid w:val="00B65DFB"/>
    <w:rsid w:val="00B66AC1"/>
    <w:rsid w:val="00B67D2C"/>
    <w:rsid w:val="00B73A71"/>
    <w:rsid w:val="00B73D08"/>
    <w:rsid w:val="00B85808"/>
    <w:rsid w:val="00B91841"/>
    <w:rsid w:val="00B935A3"/>
    <w:rsid w:val="00BA01D1"/>
    <w:rsid w:val="00BB09C8"/>
    <w:rsid w:val="00BC0CFB"/>
    <w:rsid w:val="00BC52BE"/>
    <w:rsid w:val="00BD59BC"/>
    <w:rsid w:val="00BE6C7C"/>
    <w:rsid w:val="00BE761F"/>
    <w:rsid w:val="00BF14BA"/>
    <w:rsid w:val="00C0257B"/>
    <w:rsid w:val="00C12FAE"/>
    <w:rsid w:val="00C16FEC"/>
    <w:rsid w:val="00C32EE9"/>
    <w:rsid w:val="00C47A8D"/>
    <w:rsid w:val="00C518D3"/>
    <w:rsid w:val="00C53C5D"/>
    <w:rsid w:val="00C658AB"/>
    <w:rsid w:val="00C73CF8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8A0"/>
    <w:rsid w:val="00D06BBD"/>
    <w:rsid w:val="00D10520"/>
    <w:rsid w:val="00D12A38"/>
    <w:rsid w:val="00D16CC2"/>
    <w:rsid w:val="00D16E37"/>
    <w:rsid w:val="00D4668B"/>
    <w:rsid w:val="00D46786"/>
    <w:rsid w:val="00D62395"/>
    <w:rsid w:val="00D73C5B"/>
    <w:rsid w:val="00DA0DEB"/>
    <w:rsid w:val="00DA2440"/>
    <w:rsid w:val="00DB4A9C"/>
    <w:rsid w:val="00DC15C5"/>
    <w:rsid w:val="00DE38C8"/>
    <w:rsid w:val="00DF6B61"/>
    <w:rsid w:val="00DF71F4"/>
    <w:rsid w:val="00E227BA"/>
    <w:rsid w:val="00E25F87"/>
    <w:rsid w:val="00E640B5"/>
    <w:rsid w:val="00E94F58"/>
    <w:rsid w:val="00EB28AE"/>
    <w:rsid w:val="00EC15B0"/>
    <w:rsid w:val="00EC33B6"/>
    <w:rsid w:val="00ED5825"/>
    <w:rsid w:val="00EE26DC"/>
    <w:rsid w:val="00EF13B2"/>
    <w:rsid w:val="00EF16C3"/>
    <w:rsid w:val="00EF3608"/>
    <w:rsid w:val="00F00C26"/>
    <w:rsid w:val="00F102F8"/>
    <w:rsid w:val="00F16B76"/>
    <w:rsid w:val="00F20337"/>
    <w:rsid w:val="00F20CFC"/>
    <w:rsid w:val="00F41506"/>
    <w:rsid w:val="00F468F4"/>
    <w:rsid w:val="00F51E36"/>
    <w:rsid w:val="00F52FCC"/>
    <w:rsid w:val="00F564CD"/>
    <w:rsid w:val="00F65A96"/>
    <w:rsid w:val="00F77447"/>
    <w:rsid w:val="00F81BA7"/>
    <w:rsid w:val="00F84CC4"/>
    <w:rsid w:val="00F949C6"/>
    <w:rsid w:val="00FB6137"/>
    <w:rsid w:val="00FC721D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9788735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BodyText10">
    <w:name w:val="P68B1DB1-BodyText10"/>
    <w:basedOn w:val="BodyText"/>
    <w:rPr>
      <w:i/>
    </w:rPr>
  </w:style>
  <w:style w:type="paragraph" w:customStyle="1" w:styleId="P68B1DB1-Normal11">
    <w:name w:val="P68B1DB1-Normal11"/>
    <w:basedOn w:val="Normal"/>
    <w:rPr>
      <w:i/>
    </w:rPr>
  </w:style>
  <w:style w:type="paragraph" w:customStyle="1" w:styleId="P68B1DB1-Normal12">
    <w:name w:val="P68B1DB1-Normal12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de-in.org" TargetMode="Externa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871081B-DA99-493E-B3B9-82DF00BBCC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551A0E-E7C3-44CB-90D3-0CF26038E8E5}"/>
</file>

<file path=customXml/itemProps4.xml><?xml version="1.0" encoding="utf-8"?>
<ds:datastoreItem xmlns:ds="http://schemas.openxmlformats.org/officeDocument/2006/customXml" ds:itemID="{AE219264-F8D9-4615-88EE-D9AD32DA37D7}"/>
</file>

<file path=customXml/itemProps5.xml><?xml version="1.0" encoding="utf-8"?>
<ds:datastoreItem xmlns:ds="http://schemas.openxmlformats.org/officeDocument/2006/customXml" ds:itemID="{BD207EF9-2492-4EF4-BCD8-A3E1FFE206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1654</TotalTime>
  <Pages>21</Pages>
  <Words>3064</Words>
  <Characters>18037</Characters>
  <Application>Microsoft Office Word</Application>
  <DocSecurity>0</DocSecurity>
  <Lines>596</Lines>
  <Paragraphs>446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frane</cp:lastModifiedBy>
  <cp:revision>264</cp:revision>
  <cp:lastPrinted>2022-01-07T10:08:00Z</cp:lastPrinted>
  <dcterms:created xsi:type="dcterms:W3CDTF">2019-08-29T07:59:00Z</dcterms:created>
  <dcterms:modified xsi:type="dcterms:W3CDTF">2024-02-23T17:28:00Z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