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53" w:rsidRDefault="0075583C" w:rsidP="0026573A">
      <w:pPr>
        <w:rPr>
          <w:color w:val="000000"/>
          <w:sz w:val="20"/>
          <w:szCs w:val="20"/>
        </w:rPr>
      </w:pPr>
      <w:dir w:val="ltr"/>
    </w:p>
    <w:p w:rsidR="006C6C53" w:rsidRDefault="0075583C">
      <w:pPr>
        <w:pStyle w:val="P68B1DB1-Normal1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 wp14:anchorId="3D034A08" wp14:editId="79EEC7EA">
            <wp:extent cx="3643952" cy="234508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4197" cy="235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6C6C53" w:rsidRDefault="0075583C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2020-1-HR01-KA226-E-094713</w:t>
      </w:r>
    </w:p>
    <w:p w:rsidR="006C6C53" w:rsidRDefault="0075583C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Due curricula di apprendimento a distanza nel machine learning e nel cloud computing</w:t>
      </w:r>
    </w:p>
    <w:p w:rsidR="006C6C53" w:rsidRDefault="0075583C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Cloud computing - Valutazioni</w:t>
      </w:r>
    </w:p>
    <w:p w:rsidR="006C6C53" w:rsidRDefault="006C6C53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6C6C53" w:rsidRDefault="0075583C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Ottobre 2022</w:t>
      </w:r>
    </w:p>
    <w:p w:rsidR="006C6C53" w:rsidRDefault="006C6C53">
      <w:pPr>
        <w:spacing w:line="276" w:lineRule="auto"/>
        <w:jc w:val="center"/>
        <w:rPr>
          <w:sz w:val="32"/>
          <w:szCs w:val="32"/>
        </w:rPr>
        <w:sectPr w:rsidR="006C6C53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6C6C53" w:rsidRDefault="0075583C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</w:t>
      </w:r>
      <w:r w:rsidR="0026573A">
        <w:t>H</w:t>
      </w:r>
      <w:r>
        <w:t>E-094713</w:t>
      </w:r>
    </w:p>
    <w:p w:rsidR="006C6C53" w:rsidRDefault="0026573A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CODEIN</w:t>
      </w: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6C6C53" w:rsidRDefault="0026573A">
      <w:pPr>
        <w:pStyle w:val="P68B1DB1-Normal6"/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sz w:val="28"/>
          <w:szCs w:val="25"/>
        </w:rPr>
      </w:pPr>
      <w:proofErr w:type="spellStart"/>
      <w:r w:rsidRPr="0026573A">
        <w:t>Cloud</w:t>
      </w:r>
      <w:proofErr w:type="spellEnd"/>
      <w:r w:rsidRPr="0026573A">
        <w:t xml:space="preserve"> </w:t>
      </w:r>
      <w:proofErr w:type="spellStart"/>
      <w:r w:rsidRPr="0026573A">
        <w:t>cOmputing</w:t>
      </w:r>
      <w:proofErr w:type="spellEnd"/>
      <w:r w:rsidRPr="0026573A">
        <w:t xml:space="preserve"> for Digital </w:t>
      </w:r>
      <w:proofErr w:type="spellStart"/>
      <w:r w:rsidRPr="0026573A">
        <w:t>Education</w:t>
      </w:r>
      <w:proofErr w:type="spellEnd"/>
      <w:r w:rsidRPr="0026573A">
        <w:t xml:space="preserve"> </w:t>
      </w:r>
      <w:proofErr w:type="spellStart"/>
      <w:r w:rsidRPr="0026573A">
        <w:t>INnovation</w:t>
      </w:r>
      <w:proofErr w:type="spellEnd"/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6C6C53" w:rsidTr="006C6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Work package: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Output intellettuali</w:t>
            </w:r>
          </w:p>
        </w:tc>
      </w:tr>
      <w:tr w:rsidR="006C6C53" w:rsidTr="006C6C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Prodotto/Recapitati: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O3 - Due curricula di apprendimento a distanza nel machine learning e nel cloud computing - Valutazioni</w:t>
            </w:r>
          </w:p>
        </w:tc>
      </w:tr>
    </w:tbl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6C6C53" w:rsidTr="006C6C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Versione:</w:t>
            </w:r>
          </w:p>
        </w:tc>
        <w:tc>
          <w:tcPr>
            <w:tcW w:w="2521" w:type="dxa"/>
            <w:tcBorders>
              <w:bottom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6573A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6573A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Ottobre, 2022</w:t>
            </w:r>
          </w:p>
        </w:tc>
      </w:tr>
      <w:tr w:rsidR="006C6C53" w:rsidTr="006C6C53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Tipo: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e-book</w:t>
            </w:r>
          </w:p>
        </w:tc>
      </w:tr>
      <w:tr w:rsidR="006C6C53" w:rsidTr="006C6C53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Distribuzione: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Partner progetto</w:t>
            </w:r>
          </w:p>
        </w:tc>
      </w:tr>
      <w:tr w:rsidR="006C6C53" w:rsidTr="006C6C53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Partner responsabile: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Politecnico di Sebenico</w:t>
            </w:r>
          </w:p>
        </w:tc>
      </w:tr>
      <w:tr w:rsidR="006C6C53" w:rsidTr="006C6C53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Tutti i partner</w:t>
            </w:r>
          </w:p>
        </w:tc>
      </w:tr>
      <w:tr w:rsidR="006C6C53" w:rsidTr="006C6C53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Collaboratori: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26573A">
              <w:rPr>
                <w:b w:val="0"/>
              </w:rPr>
              <w:t>Tutti i partner</w:t>
            </w:r>
          </w:p>
        </w:tc>
      </w:tr>
      <w:tr w:rsidR="006C6C53" w:rsidTr="006C6C5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6C6C53" w:rsidRDefault="0075583C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Approvato da:</w:t>
            </w:r>
          </w:p>
        </w:tc>
        <w:tc>
          <w:tcPr>
            <w:tcW w:w="2521" w:type="dxa"/>
            <w:tcBorders>
              <w:top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26573A">
              <w:rPr>
                <w:b w:val="0"/>
              </w:rPr>
              <w:t>Gruppo di assicurazione di qualità</w:t>
            </w:r>
          </w:p>
        </w:tc>
        <w:tc>
          <w:tcPr>
            <w:tcW w:w="1080" w:type="dxa"/>
            <w:tcBorders>
              <w:top w:val="nil"/>
            </w:tcBorders>
          </w:tcPr>
          <w:p w:rsidR="006C6C53" w:rsidRPr="0026573A" w:rsidRDefault="0075583C" w:rsidP="0026573A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26573A">
              <w:rPr>
                <w:b w:val="0"/>
              </w:rPr>
              <w:t>Data: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6C6C53" w:rsidRPr="0026573A" w:rsidRDefault="0075583C" w:rsidP="0026573A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26573A">
              <w:rPr>
                <w:b w:val="0"/>
              </w:rPr>
              <w:t>30/11/2022</w:t>
            </w:r>
          </w:p>
        </w:tc>
      </w:tr>
    </w:tbl>
    <w:p w:rsidR="006C6C53" w:rsidRDefault="006C6C53">
      <w:pPr>
        <w:spacing w:line="276" w:lineRule="auto"/>
        <w:rPr>
          <w:sz w:val="24"/>
          <w:szCs w:val="24"/>
        </w:rPr>
        <w:sectPr w:rsidR="006C6C53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6C6C53" w:rsidRDefault="006C6C53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6C6C53" w:rsidRDefault="0075583C">
      <w:pPr>
        <w:pStyle w:val="P68B1DB1-Normal7"/>
        <w:spacing w:before="33" w:line="276" w:lineRule="auto"/>
        <w:ind w:left="239"/>
        <w:rPr>
          <w:szCs w:val="36"/>
        </w:rPr>
      </w:pPr>
      <w:r>
        <w:t>Scheda di identificazione</w:t>
      </w: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6C6C53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Codice progetto</w:t>
            </w:r>
          </w:p>
        </w:tc>
        <w:tc>
          <w:tcPr>
            <w:tcW w:w="6236" w:type="dx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2020-1-HR01-KA226-E-094713</w:t>
            </w:r>
          </w:p>
        </w:tc>
      </w:tr>
      <w:tr w:rsidR="006C6C53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Acronimo progetto</w:t>
            </w:r>
          </w:p>
        </w:tc>
        <w:tc>
          <w:tcPr>
            <w:tcW w:w="6236" w:type="dx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CODICE</w:t>
            </w:r>
          </w:p>
        </w:tc>
      </w:tr>
      <w:tr w:rsidR="006C6C53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Titolo completo progetto</w:t>
            </w:r>
          </w:p>
        </w:tc>
        <w:tc>
          <w:tcPr>
            <w:tcW w:w="6236" w:type="dx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Cloud cOmputing per la formazione digitale INnovation</w:t>
            </w:r>
          </w:p>
        </w:tc>
      </w:tr>
    </w:tbl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6C6C53">
        <w:trPr>
          <w:trHeight w:val="720"/>
        </w:trPr>
        <w:tc>
          <w:tcPr>
            <w:tcW w:w="2823" w:type="dxa"/>
            <w:shd w:val="clear" w:color="auto" w:fill="FDEADA"/>
          </w:tcPr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Parole chiave</w:t>
            </w:r>
          </w:p>
        </w:tc>
        <w:tc>
          <w:tcPr>
            <w:tcW w:w="6219" w:type="dxa"/>
          </w:tcPr>
          <w:p w:rsidR="006C6C53" w:rsidRDefault="0075583C">
            <w:r>
              <w:t>formazione a distanza, cloud computing</w:t>
            </w:r>
          </w:p>
        </w:tc>
      </w:tr>
      <w:tr w:rsidR="006C6C53">
        <w:trPr>
          <w:trHeight w:val="2280"/>
        </w:trPr>
        <w:tc>
          <w:tcPr>
            <w:tcW w:w="2823" w:type="dxa"/>
            <w:shd w:val="clear" w:color="auto" w:fill="FDEADA"/>
          </w:tcPr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6C6C53" w:rsidRDefault="0075583C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Astratto</w:t>
            </w:r>
          </w:p>
        </w:tc>
        <w:tc>
          <w:tcPr>
            <w:tcW w:w="6219" w:type="dxa"/>
          </w:tcPr>
          <w:p w:rsidR="006C6C53" w:rsidRDefault="006C6C53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6C6C53">
        <w:trPr>
          <w:trHeight w:val="1660"/>
        </w:trPr>
        <w:tc>
          <w:tcPr>
            <w:tcW w:w="2823" w:type="dxa"/>
            <w:shd w:val="clear" w:color="auto" w:fill="FDEADA"/>
          </w:tcPr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6C6C53" w:rsidRDefault="006C6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6C6C53" w:rsidRDefault="0075583C" w:rsidP="0026573A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  <w:jc w:val="left"/>
            </w:pPr>
            <w:r>
              <w:t>Dichiarazione di non responsabilità</w:t>
            </w:r>
          </w:p>
        </w:tc>
        <w:tc>
          <w:tcPr>
            <w:tcW w:w="6219" w:type="dxa"/>
          </w:tcPr>
          <w:p w:rsidR="006C6C53" w:rsidRDefault="0075583C">
            <w:r>
              <w:t>Questo progetto è stato finanziato con il sostegno della Commissione europea. La presente pubblicazione riflette esclusivamente le opinioni dell'autore e la Commissione non può essere ritenuta responsabile per qualsiasi uso che possa essere fatto delle inf</w:t>
            </w:r>
            <w:r>
              <w:t>ormazioni in essa contenute.</w:t>
            </w:r>
          </w:p>
        </w:tc>
      </w:tr>
    </w:tbl>
    <w:p w:rsidR="006C6C53" w:rsidRDefault="006C6C53">
      <w:pPr>
        <w:spacing w:line="276" w:lineRule="auto"/>
        <w:sectPr w:rsidR="006C6C53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6C6C53" w:rsidRDefault="006C6C5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6C6C53" w:rsidRDefault="0075583C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Contenuti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26573A" w:rsidRDefault="0075583C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84928" w:history="1">
            <w:r w:rsidR="0026573A" w:rsidRPr="00531C69">
              <w:rPr>
                <w:rStyle w:val="Hyperlink"/>
                <w:noProof/>
              </w:rPr>
              <w:t>INTRODUZIONE</w:t>
            </w:r>
            <w:r w:rsidR="0026573A">
              <w:rPr>
                <w:noProof/>
                <w:webHidden/>
              </w:rPr>
              <w:tab/>
            </w:r>
            <w:r w:rsidR="0026573A">
              <w:rPr>
                <w:noProof/>
                <w:webHidden/>
              </w:rPr>
              <w:fldChar w:fldCharType="begin"/>
            </w:r>
            <w:r w:rsidR="0026573A">
              <w:rPr>
                <w:noProof/>
                <w:webHidden/>
              </w:rPr>
              <w:instrText xml:space="preserve"> PAGEREF _Toc159684928 \h </w:instrText>
            </w:r>
            <w:r w:rsidR="0026573A">
              <w:rPr>
                <w:noProof/>
                <w:webHidden/>
              </w:rPr>
            </w:r>
            <w:r w:rsidR="0026573A">
              <w:rPr>
                <w:noProof/>
                <w:webHidden/>
              </w:rPr>
              <w:fldChar w:fldCharType="separate"/>
            </w:r>
            <w:r w:rsidR="0026573A">
              <w:rPr>
                <w:noProof/>
                <w:webHidden/>
              </w:rPr>
              <w:t>5</w:t>
            </w:r>
            <w:r w:rsidR="0026573A">
              <w:rPr>
                <w:noProof/>
                <w:webHidden/>
              </w:rPr>
              <w:fldChar w:fldCharType="end"/>
            </w:r>
          </w:hyperlink>
        </w:p>
        <w:p w:rsidR="0026573A" w:rsidRDefault="0026573A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84929" w:history="1">
            <w:r w:rsidRPr="00531C69">
              <w:rPr>
                <w:rStyle w:val="Hyperlink"/>
                <w:noProof/>
              </w:rPr>
              <w:t>DOMANDE DI VALUTAZIONE: VALUTA LE TUE CONOSCENZE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_Toc159684929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573A" w:rsidRDefault="0026573A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84930" w:history="1">
            <w:r w:rsidRPr="00531C69">
              <w:rPr>
                <w:rStyle w:val="Hyperlink"/>
                <w:noProof/>
              </w:rPr>
              <w:t>RIFERIMENTI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_Toc159684930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C6C53" w:rsidRDefault="0075583C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0" w:name="_heading=h.gjdgxs" w:colFirst="0" w:colLast="0" w:displacedByCustomXml="prev"/>
    <w:bookmarkEnd w:id="0" w:displacedByCustomXml="prev"/>
    <w:p w:rsidR="006C6C53" w:rsidRDefault="0075583C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6C6C53" w:rsidRDefault="0075583C">
      <w:pPr>
        <w:pStyle w:val="Heading2"/>
        <w:tabs>
          <w:tab w:val="left" w:pos="476"/>
        </w:tabs>
        <w:spacing w:line="276" w:lineRule="auto"/>
      </w:pPr>
      <w:bookmarkStart w:id="1" w:name="_Toc159684928"/>
      <w:r>
        <w:lastRenderedPageBreak/>
        <w:t>INTRODUZIONE</w:t>
      </w:r>
      <w:bookmarkEnd w:id="1"/>
    </w:p>
    <w:p w:rsidR="006C6C53" w:rsidRDefault="0075583C">
      <w:pPr>
        <w:pStyle w:val="BodyText"/>
      </w:pPr>
      <w:bookmarkStart w:id="2" w:name="_heading=h.30j0zll" w:colFirst="0" w:colLast="0"/>
      <w:bookmarkEnd w:id="2"/>
      <w:r>
        <w:t>Di seguito troverai una serie di domande di valutazione progettate per aiutarti a valutare le tue conoscenze. Queste domande, insieme ad altre simili, erano già state pubblicate sulla piattaforma Oracle Academy Member Hub sotto forma di quiz di valutazione</w:t>
      </w:r>
      <w:r>
        <w:t xml:space="preserve"> interattiva, midterms ed esami finali.</w:t>
      </w:r>
    </w:p>
    <w:p w:rsidR="006C6C53" w:rsidRDefault="0075583C">
      <w:pPr>
        <w:pStyle w:val="Heading2"/>
      </w:pPr>
      <w:bookmarkStart w:id="3" w:name="_Toc159684929"/>
      <w:r>
        <w:t>DOMANDE DI VALUTAZIONE: VALUTA LE TUE CONOSCENZE</w:t>
      </w:r>
      <w:bookmarkEnd w:id="3"/>
    </w:p>
    <w:p w:rsidR="006C6C53" w:rsidRDefault="0075583C">
      <w:pPr>
        <w:pStyle w:val="BodyText"/>
      </w:pPr>
      <w:r>
        <w:t>1. Quale delle seguenti affermazioni è vera?</w:t>
      </w:r>
    </w:p>
    <w:p w:rsidR="006C6C53" w:rsidRDefault="0075583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Ogni dominio di errore è costituito da tre domini di disponibilità</w:t>
      </w:r>
    </w:p>
    <w:p w:rsidR="006C6C53" w:rsidRDefault="0075583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Ogni dominio di disponibilità è costituito da tre domin</w:t>
      </w:r>
      <w:r>
        <w:t xml:space="preserve">i di errore  </w:t>
      </w:r>
    </w:p>
    <w:p w:rsidR="006C6C53" w:rsidRDefault="0075583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I domini di disponibilità sono isolati gli uni dagli altri</w:t>
      </w:r>
    </w:p>
    <w:p w:rsidR="006C6C53" w:rsidRDefault="0075583C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Tutte le region OCI sono una singola region AD</w:t>
      </w:r>
    </w:p>
    <w:p w:rsidR="006C6C53" w:rsidRDefault="0075583C">
      <w:pPr>
        <w:pStyle w:val="BodyText"/>
      </w:pPr>
      <w:r>
        <w:t xml:space="preserve">2. Un'azienda ha sviluppato un'applicazione Web in Oracle Cloud Infrastructure. Cosa devono fare per garantire che l'applicazione abbia </w:t>
      </w:r>
      <w:r>
        <w:t>il più alto livello di resilienza?</w:t>
      </w:r>
    </w:p>
    <w:p w:rsidR="006C6C53" w:rsidRDefault="0075583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Distribuire l'applicazione su più reti cloud virtuali. </w:t>
      </w:r>
    </w:p>
    <w:p w:rsidR="006C6C53" w:rsidRDefault="0075583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Distribuisci l'applicazione in più domini di disponibilità e domini di errore.  </w:t>
      </w:r>
    </w:p>
    <w:p w:rsidR="006C6C53" w:rsidRDefault="0075583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Distribuisci l'applicazione in più aree e domini di disponibilità.</w:t>
      </w:r>
    </w:p>
    <w:p w:rsidR="006C6C53" w:rsidRDefault="0075583C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Distribuire l'app</w:t>
      </w:r>
      <w:r>
        <w:t>licazione in più domini di disponibilità e subnet.</w:t>
      </w:r>
    </w:p>
    <w:p w:rsidR="006C6C53" w:rsidRDefault="0075583C">
      <w:pPr>
        <w:pStyle w:val="BodyText"/>
      </w:pPr>
      <w:r>
        <w:t>3. Quale delle seguenti virtualizzazione sposta l'IO di storage e di rete dall'hypervisor e consente istanze Bare Metal e sovraccarico inferiori?</w:t>
      </w:r>
    </w:p>
    <w:p w:rsidR="006C6C53" w:rsidRDefault="0075583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Virtualizzazione dello storage</w:t>
      </w:r>
    </w:p>
    <w:p w:rsidR="006C6C53" w:rsidRDefault="0075583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Virtualizzazione di rete</w:t>
      </w:r>
    </w:p>
    <w:p w:rsidR="006C6C53" w:rsidRDefault="0075583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</w:t>
      </w:r>
      <w:r>
        <w:t xml:space="preserve">tualizzazione di rete integrata  </w:t>
      </w:r>
    </w:p>
    <w:p w:rsidR="006C6C53" w:rsidRDefault="0075583C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Virtualizzazione delle applicazioni</w:t>
      </w:r>
    </w:p>
    <w:p w:rsidR="006C6C53" w:rsidRDefault="0075583C">
      <w:pPr>
        <w:pStyle w:val="BodyText"/>
      </w:pPr>
      <w:r>
        <w:t>4. Qual è il numero massimo di domini di disponibilità in una cloud region?</w:t>
      </w:r>
    </w:p>
    <w:p w:rsidR="006C6C53" w:rsidRDefault="0075583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2</w:t>
      </w:r>
    </w:p>
    <w:p w:rsidR="006C6C53" w:rsidRDefault="0075583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10</w:t>
      </w:r>
    </w:p>
    <w:p w:rsidR="006C6C53" w:rsidRDefault="0075583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3  </w:t>
      </w:r>
    </w:p>
    <w:p w:rsidR="006C6C53" w:rsidRDefault="0075583C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5. Quale dei seguenti rappresenta l'intervallo di indirizzi IP all'interno della rete 192.168.2.0/25?</w:t>
      </w:r>
    </w:p>
    <w:p w:rsidR="006C6C53" w:rsidRDefault="0075583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192.168.2.31</w:t>
      </w:r>
    </w:p>
    <w:p w:rsidR="006C6C53" w:rsidRDefault="0075583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192.168.2.65</w:t>
      </w:r>
    </w:p>
    <w:p w:rsidR="006C6C53" w:rsidRDefault="0075583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192.168.2.0 – 192.168.2.127  </w:t>
      </w:r>
    </w:p>
    <w:p w:rsidR="006C6C53" w:rsidRDefault="0075583C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192.168.2.7</w:t>
      </w:r>
    </w:p>
    <w:p w:rsidR="006C6C53" w:rsidRDefault="0075583C">
      <w:pPr>
        <w:pStyle w:val="BodyText"/>
      </w:pPr>
      <w:r>
        <w:t>6. Quale dei seguenti protocolli viene utili</w:t>
      </w:r>
      <w:r>
        <w:t>zzato da Fastconnect per lo scambio di informazioni di instradamento?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BGP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ICMP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OSPF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RIP</w:t>
      </w:r>
    </w:p>
    <w:p w:rsidR="006C6C53" w:rsidRDefault="0075583C">
      <w:pPr>
        <w:pStyle w:val="BodyText"/>
      </w:pPr>
      <w:r>
        <w:t>7. Quale gateway è possibile utilizzare per fornire l'accesso a Internet ai carichi di lavoro distribuiti nella subnet privata di una VCN?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Gateway del servizio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Gatewa</w:t>
      </w:r>
      <w:r>
        <w:t>y di instradamento dinamico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Gateway NAT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Gateway Internet</w:t>
      </w:r>
    </w:p>
    <w:p w:rsidR="006C6C53" w:rsidRDefault="0075583C">
      <w:pPr>
        <w:pStyle w:val="BodyText"/>
      </w:pPr>
      <w:r>
        <w:t>8. Indicare se l'istruzione è True o False: per connettere due VCN all'interno di un'area è necessario Local Peering Gateway.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9. Indica se l'istruzione è True o False: BGP è un protocollo di instradamento statico.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10. Quale delle seguenti rappresenta la quantità di trasferimento dati in uscita gratuito in una tenancy OCI?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50TB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20TB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5TB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10TB  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11. Quale delle seguenti opzioni può essere utilizzata per connettere una rete on premise del cliente al cloud?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Gateway del servizio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VPN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Gateway Internet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DRG</w:t>
      </w:r>
    </w:p>
    <w:p w:rsidR="006C6C53" w:rsidRDefault="0075583C">
      <w:pPr>
        <w:spacing w:before="0" w:after="0" w:line="240" w:lineRule="auto"/>
        <w:jc w:val="left"/>
      </w:pPr>
      <w:r>
        <w:t xml:space="preserve">12. Indicare se l'istruzione è True o False: i server Bare Metal vengono utilizzati per carichi </w:t>
      </w:r>
      <w:r>
        <w:t>di lavoro a uso intensivo di prestazioni.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13. Indicare se la seguente istruzione è True o False: lo storage degli oggetti supporta l'accesso privato dalle risorse Oracle Cloud Infrastructure in una VCN tramite un gateway Internet.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pStyle w:val="BodyText"/>
      </w:pPr>
      <w:r>
        <w:t>14. Quale dei seguenti è il nome utente predefinito creato in un'istanza di computazione creata da Oracle Linux/CentOS?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radice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opc  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usr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opcusr</w:t>
      </w:r>
    </w:p>
    <w:p w:rsidR="006C6C53" w:rsidRDefault="0075583C">
      <w:pPr>
        <w:pStyle w:val="BodyText"/>
      </w:pPr>
      <w:r>
        <w:t>15. Quale dei seguenti servizi di storage OCI viene utilizzato per memorizzare i dati non strutturati?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Storage file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Storage di archivio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Volume a blocchi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Storage degli oggetti  </w:t>
      </w:r>
    </w:p>
    <w:p w:rsidR="006C6C53" w:rsidRDefault="0075583C">
      <w:pPr>
        <w:pStyle w:val="BodyText"/>
      </w:pPr>
      <w:r>
        <w:t>16. Indica se l'istruzione è True o False: per impostazione predefinita, i volumi a blocchi sono di sola lettura.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D82FD5" w:rsidRDefault="00D82FD5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17. Quale dei seguenti servizi di storage OCI viene uti</w:t>
      </w:r>
      <w:r>
        <w:t>lizzato per memorizzare dati a cui si accede raramente, ma che richiedono lunghi periodi di conservazione?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Storage di archivio  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Storage degli oggetti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Volume a blocchi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Storage file</w:t>
      </w:r>
    </w:p>
    <w:p w:rsidR="006C6C53" w:rsidRDefault="006C6C53">
      <w:pPr>
        <w:spacing w:before="0" w:after="0" w:line="240" w:lineRule="auto"/>
        <w:jc w:val="left"/>
      </w:pPr>
    </w:p>
    <w:p w:rsidR="006C6C53" w:rsidRDefault="0075583C">
      <w:pPr>
        <w:pStyle w:val="BodyText"/>
      </w:pPr>
      <w:r>
        <w:t>18. Indicare se l'istruzione è True o False: il servizio di storage di fi</w:t>
      </w:r>
      <w:r>
        <w:t>le cifra tutti i dati di file system e snapshot in archivio.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19. Quale dei seguenti casi d'uso non è un servizio di storage di file?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Big Data e analitica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Storage di file General Purpose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Carichi di lavoro ad alte prestazioni  </w:t>
      </w:r>
    </w:p>
    <w:p w:rsidR="006C6C53" w:rsidRDefault="0075583C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MicroServices e D</w:t>
      </w:r>
      <w:r>
        <w:t>ocker</w:t>
      </w:r>
    </w:p>
    <w:p w:rsidR="006C6C53" w:rsidRDefault="0075583C">
      <w:pPr>
        <w:pStyle w:val="BodyText"/>
      </w:pPr>
      <w:r>
        <w:t>20. Quale delle seguenti opzioni non rappresenta le opzioni di esportazione NFS predefinite durante la creazione di un file system?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Fonte: 0.0.0.0/0 (Tutto)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Accesso: lettura/scrittura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Richiedi porta di origine con privilegi: True  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Squash identità: nessuna</w:t>
      </w:r>
    </w:p>
    <w:p w:rsidR="006C6C53" w:rsidRDefault="0075583C">
      <w:pPr>
        <w:pStyle w:val="BodyText"/>
      </w:pPr>
      <w:r>
        <w:t>21. Quale delle seguenti funzioni rappresenta le funzioni supportate dallo storage degli oggetti?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Richieste preautenticate per l'accesso all'oggetto senza credenziali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Caricamento multiparte per un singolo oggetto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Regole del ciclo di vita per archiviare o eliminare automaticamente gli oggetti dopo un numero specificato di giorni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Tutti i precedenti  </w:t>
      </w:r>
    </w:p>
    <w:p w:rsidR="006C6C53" w:rsidRDefault="0075583C">
      <w:pPr>
        <w:pStyle w:val="BodyText"/>
      </w:pPr>
      <w:r>
        <w:t>22. Quale delle seguenti istruzioni è falsa sullo storage degli oggetti?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Ideale per memorizzare una quantità illimitat</w:t>
      </w:r>
      <w:r>
        <w:t>a di dati non strutturati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Il requisito minimo di conservazione per lo storage di archivio è di 30 giorni  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Offre due classi di storage distinte, "hot storage" e "cold storage"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Utilizza lo standard AES-256 (Advanced Encryption Standard) a 256 bit per la cif</w:t>
      </w:r>
      <w:r>
        <w:t>ratura dei dati oggetto</w:t>
      </w:r>
    </w:p>
    <w:p w:rsidR="006C6C53" w:rsidRDefault="0075583C">
      <w:pPr>
        <w:pStyle w:val="BodyText"/>
      </w:pPr>
      <w:r>
        <w:lastRenderedPageBreak/>
        <w:t>23. Indicare se la seguente istruzione è True o False: lo storage degli oggetti supporta l'accesso privato dalle risorse Oracle Cloud Infrastructure in una VCN tramite un gateway Internet.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6C6C53">
      <w:pPr>
        <w:spacing w:before="0" w:after="0" w:line="240" w:lineRule="auto"/>
        <w:jc w:val="left"/>
      </w:pPr>
    </w:p>
    <w:p w:rsidR="006C6C53" w:rsidRDefault="0075583C">
      <w:pPr>
        <w:pStyle w:val="BodyText"/>
      </w:pPr>
      <w:r>
        <w:t>24. Quali sono i criteri com</w:t>
      </w:r>
      <w:r>
        <w:t>uni di bilanciamento del carico in OCI tra quelli riportati di seguito?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Instradamento sequenziale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Meno connessioni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Connessione IP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Tutto il sopra  </w:t>
      </w:r>
    </w:p>
    <w:p w:rsidR="006C6C53" w:rsidRDefault="0075583C">
      <w:pPr>
        <w:pStyle w:val="BodyText"/>
      </w:pPr>
      <w:r>
        <w:t>25. Quale delle seguenti opzioni non è una forma di load balancer supportata in OCI?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1000 Mbps  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400 Mbps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100 Mbps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8000 Mbps</w:t>
      </w:r>
    </w:p>
    <w:p w:rsidR="006C6C53" w:rsidRDefault="0075583C">
      <w:pPr>
        <w:pStyle w:val="BodyText"/>
      </w:pPr>
      <w:r>
        <w:t>26. Quale tra i seguenti protocolli non è supportato nel load balancer OCI?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WebSocket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TCP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UDP  </w:t>
      </w:r>
    </w:p>
    <w:p w:rsidR="006C6C53" w:rsidRDefault="0075583C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HTTP/1.1</w:t>
      </w:r>
    </w:p>
    <w:p w:rsidR="006C6C53" w:rsidRDefault="0075583C">
      <w:pPr>
        <w:pStyle w:val="BodyText"/>
      </w:pPr>
      <w:r>
        <w:t>27. Quale tra i seguenti protocolli viene utilizzato dagli Application Server per la connessione allo storage degli oggetti OCI tram</w:t>
      </w:r>
      <w:r>
        <w:t>ite il gateway di storage?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NFSv1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NFSv4  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NFSv2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NFSv3</w:t>
      </w:r>
    </w:p>
    <w:p w:rsidR="006C6C53" w:rsidRDefault="0075583C">
      <w:pPr>
        <w:pStyle w:val="BodyText"/>
      </w:pPr>
      <w:r>
        <w:t>28. Quale dei seguenti metodi non è in grado di trasferire i dati dai clienti on-premise a Oracle Cloud?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Gateway del servizio  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Gateway di storage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VPN su Internet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FastConnect</w:t>
      </w:r>
    </w:p>
    <w:p w:rsidR="00D82FD5" w:rsidRDefault="00D82FD5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 xml:space="preserve">29. Indicare se la seguente </w:t>
      </w:r>
      <w:r>
        <w:t>istruzione è True o False: Storage Gateway può essere utilizzato come server NAS (Network Attached Storage) General Purpose.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6C6C53">
      <w:pPr>
        <w:spacing w:before="0" w:after="0" w:line="240" w:lineRule="auto"/>
        <w:jc w:val="left"/>
      </w:pPr>
    </w:p>
    <w:p w:rsidR="006C6C53" w:rsidRDefault="0075583C">
      <w:pPr>
        <w:pStyle w:val="BodyText"/>
      </w:pPr>
      <w:r>
        <w:t>30. Quale delle versioni seguenti non è una delle versioni per il database Exadata?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Mezzo rack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Rack completo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Quarter Rack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Sedicesimo rack  </w:t>
      </w:r>
    </w:p>
    <w:p w:rsidR="006C6C53" w:rsidRDefault="0075583C">
      <w:pPr>
        <w:pStyle w:val="BodyText"/>
      </w:pPr>
      <w:r>
        <w:t>31. Vuoi sfruttare un'offerta RAC gestita in OCI. Quale servizio DB gestito scegliere?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Bare Metal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Virtual machine a 1 nodo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Exadata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Virtual machine a 2 nodi  </w:t>
      </w:r>
    </w:p>
    <w:p w:rsidR="006C6C53" w:rsidRDefault="0075583C">
      <w:pPr>
        <w:pStyle w:val="BodyText"/>
      </w:pPr>
      <w:r>
        <w:t>32. Quale tra le seguenti rappresenta le metriche corrette utilizzate per il prezzo di un database basato su VM su OCI?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al minuto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OCPU all'ora  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al mese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all'anno</w:t>
      </w:r>
    </w:p>
    <w:p w:rsidR="006C6C53" w:rsidRDefault="0075583C">
      <w:pPr>
        <w:pStyle w:val="BodyText"/>
      </w:pPr>
      <w:r>
        <w:t>33. Quale delle seguenti è la porta predefinita utilizzata dal database autonom</w:t>
      </w:r>
      <w:r>
        <w:t>o?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1524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1520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1522  </w:t>
      </w:r>
    </w:p>
    <w:p w:rsidR="006C6C53" w:rsidRDefault="0075583C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1521</w:t>
      </w:r>
    </w:p>
    <w:p w:rsidR="006C6C53" w:rsidRDefault="0075583C">
      <w:pPr>
        <w:pStyle w:val="BodyText"/>
      </w:pPr>
      <w:r>
        <w:t>34. Quanti nomi di servizio predefiniti sono configurati in tnsnames.ora per una singola istanza di database Autonomous Transaction Processing e quali sono i nomi?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Due - sono ATP e ADW.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Cinque - Sono tpurgent, tp, high, medium e lo</w:t>
      </w:r>
      <w:r>
        <w:t xml:space="preserve">w.  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None (Nessuno) - non sono presenti nomi di servizio predefiniti in tnsnames.ora.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Tre - sono alti, medi e bassi.</w:t>
      </w:r>
    </w:p>
    <w:p w:rsidR="00D82FD5" w:rsidRDefault="00D82FD5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35. Quale delle seguenti affermazioni è falsa sul database autonomo?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Supporta la connettività tramite SQL*Net, JDBC, ODBC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Oracle Autonomous Database può essere distribuito in 2 modi: dedicati e server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Supporta Oracle Cloud Services quali Analytics Cloud Service, GoldenGate Cloud Service, Integration Cloud Service e altri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Il ridimensionamento su richiesta non è supportato per </w:t>
      </w:r>
      <w:r>
        <w:t xml:space="preserve">Autonomous Database  </w:t>
      </w:r>
    </w:p>
    <w:p w:rsidR="006C6C53" w:rsidRDefault="0075583C">
      <w:pPr>
        <w:pStyle w:val="BodyText"/>
      </w:pPr>
      <w:r>
        <w:t>36. Indicare se la seguente istruzione è True o False: l'ATP che memorizza i dati in formato colonna è ideale per l'elaborazione delle transazioni.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pStyle w:val="BodyText"/>
      </w:pPr>
      <w:r>
        <w:t>37. Quale tra le seguenti non è una caratteristica dell'audit dell'attivi</w:t>
      </w:r>
      <w:r>
        <w:t>tà utente?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Raccogliere i dati di audit dai database e tenere traccia delle operazioni riservate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Valutazione completa dei parametri di sicurezza  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Esegui provisioning di criteri di audit, conformità e avvisi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Raccogliere i dati di audit dai database e tenere</w:t>
      </w:r>
      <w:r>
        <w:t xml:space="preserve"> traccia delle operazioni riservate</w:t>
      </w:r>
    </w:p>
    <w:p w:rsidR="006C6C53" w:rsidRDefault="0075583C">
      <w:pPr>
        <w:pStyle w:val="BodyText"/>
      </w:pPr>
      <w:r>
        <w:t>38. Quale tra i seguenti non è uno dei casi d'uso per DataSafe?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Sicurezza e valutazione degli utenti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Protezione dei dati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Disaster recovery  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Recupero dati riservati</w:t>
      </w:r>
    </w:p>
    <w:p w:rsidR="006C6C53" w:rsidRDefault="0075583C">
      <w:pPr>
        <w:pStyle w:val="BodyText"/>
      </w:pPr>
      <w:r>
        <w:t xml:space="preserve">39. Indicare se la seguente istruzione è True o False: </w:t>
      </w:r>
      <w:r>
        <w:t>Data Masking è necessario per analizzare i tipi di dati presenti nel database e i dati riservati.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pStyle w:val="BodyText"/>
      </w:pPr>
      <w:r>
        <w:t>40. Indicare se la seguente istruzione è True o False: i record NS e SOA predefiniti vengono generati automaticamente quando viene creata una zon</w:t>
      </w:r>
      <w:r>
        <w:t>a.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41. Quale tra i seguenti non è uno dei record DNS supportati per il servizio DNS?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CERT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CHIAVE DNS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NAPTR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TXT</w:t>
      </w:r>
    </w:p>
    <w:p w:rsidR="006C6C53" w:rsidRDefault="0075583C">
      <w:pPr>
        <w:pStyle w:val="BodyText"/>
      </w:pPr>
      <w:r>
        <w:lastRenderedPageBreak/>
        <w:t>42. Quale tra i seguenti è il server DNS che prende il nome del sito web o le richieste di URL dagli utenti e controlla i record ottenuti da server DNS autorevoli per l'indirizzo IP associato?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Nameserver TLD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DNS ricorsivo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Server DNS root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Server resolver </w:t>
      </w:r>
      <w:r>
        <w:t>stub DNS</w:t>
      </w:r>
    </w:p>
    <w:p w:rsidR="006C6C53" w:rsidRDefault="0075583C">
      <w:pPr>
        <w:pStyle w:val="BodyText"/>
      </w:pPr>
      <w:r>
        <w:t>43. Quale tra i seguenti non è il caso d'uso comune per la gestione del traffico DNS?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Indirizzamento basato su transazione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Servizio a tasso zero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Migrazione al cloud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Ambiente ibrido</w:t>
      </w:r>
    </w:p>
    <w:p w:rsidR="006C6C53" w:rsidRDefault="0075583C">
      <w:pPr>
        <w:pStyle w:val="BodyText"/>
      </w:pPr>
      <w:r>
        <w:t>44. Quale dei seguenti componenti non è uno dei servizi di controllo dello stato?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Zona figlio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Monitor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Punti di osservazione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Sonde su richiesta</w:t>
      </w:r>
    </w:p>
    <w:p w:rsidR="006C6C53" w:rsidRDefault="0075583C">
      <w:pPr>
        <w:pStyle w:val="BodyText"/>
      </w:pPr>
      <w:r>
        <w:t>45. Indicare se la seguente istruzione è True o False: lo sterzo condizionale può essere utilizzato per i servi</w:t>
      </w:r>
      <w:r>
        <w:t>zi con rating zero in modo che gli ASN preferiti possano essere indirizzati a risorse gratuite mentre tutto il resto del traffico può essere indirizzato a risorse a pagamento.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46. Quale tra i seguenti non è il caso d'uso comune per OCI WAF?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</w:t>
      </w:r>
      <w:r>
        <w:t>otezione dagli attacchi di tipo DDoS (DDoS) distribuiti di livello 7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Gestione bot - blocco dinamico dei bot danneggiati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Protezione contro le inondazioni SYN  </w:t>
      </w:r>
    </w:p>
    <w:p w:rsidR="006C6C53" w:rsidRDefault="0075583C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Protezione da cross-site scripting (XSS) e SQL injection, attività</w:t>
      </w:r>
    </w:p>
    <w:p w:rsidR="006C6C53" w:rsidRDefault="0075583C">
      <w:pPr>
        <w:pStyle w:val="BodyText"/>
      </w:pPr>
      <w:r>
        <w:t>47. Indica se la seguente istruzione è True o False: OCI WAF utilizza il set di regole di base (CRS) OWASP ModSecurity per proteggersi dalle vulnerabilità Web più comuni.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48. Indicare se l'istruzione seguente è True o False: OCI WAF non è in</w:t>
      </w:r>
      <w:r>
        <w:t xml:space="preserve"> grado di proteggere i carichi di lavoro da una vulnerabilità di controllo dell'accesso a livello di funzione mancante.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pStyle w:val="BodyText"/>
      </w:pPr>
      <w:r>
        <w:t>49. Quale dei seguenti è un tipo di job Resource Manager?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Piano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Elimina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Stack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Applica</w:t>
      </w:r>
    </w:p>
    <w:p w:rsidR="006C6C53" w:rsidRDefault="0075583C">
      <w:pPr>
        <w:pStyle w:val="BodyText"/>
      </w:pPr>
      <w:r>
        <w:t>50. Quale servizio Oracle Cloud Inf</w:t>
      </w:r>
      <w:r>
        <w:t>rastructure (OCI) puoi utilizzare per creare e gestire la tua infrastruttura?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Servizio eventi OCI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Resource Manager OCI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Gateway API OCI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Container Engine per Kubernetes</w:t>
      </w:r>
    </w:p>
    <w:p w:rsidR="006C6C53" w:rsidRDefault="0075583C">
      <w:pPr>
        <w:pStyle w:val="BodyText"/>
      </w:pPr>
      <w:r>
        <w:t>51. Quale delle seguenti rappresenta lo stato del ciclo di vita del job?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Accettato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Terminato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Annullamento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In corso</w:t>
      </w:r>
    </w:p>
    <w:p w:rsidR="006C6C53" w:rsidRDefault="0075583C">
      <w:pPr>
        <w:pStyle w:val="BodyText"/>
      </w:pPr>
      <w:r>
        <w:t>52. Quale delle seguenti opzioni rappresenta la durata massima per la quale i messaggi vengono conservati in un servizio di streaming OCI?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10 giorni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30 giorni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7 giorni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15 giorni</w:t>
      </w:r>
    </w:p>
    <w:p w:rsidR="006C6C53" w:rsidRDefault="0075583C">
      <w:pPr>
        <w:pStyle w:val="BodyText"/>
      </w:pPr>
      <w:r>
        <w:t>53. Indicare se l'istruzione seguente è True o False: il servizio di streaming OCI si basa su Apache ActiveMQ.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Vero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Falso  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54. Quale dei seguenti rappresenta il vantaggio dei flussi?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Persistenza dei messaggi configurabile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Ripeti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Garanzie degli ordini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Tutto sopra  </w:t>
      </w:r>
    </w:p>
    <w:p w:rsidR="006C6C53" w:rsidRDefault="0075583C">
      <w:pPr>
        <w:pStyle w:val="BodyText"/>
      </w:pPr>
      <w:r>
        <w:t>55. Il servizio di monitoraggio utilizza quale servizio monitorare le risorse?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Stato delle risorse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Controllo stato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Metriche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Notifiche</w:t>
      </w:r>
    </w:p>
    <w:p w:rsidR="006C6C53" w:rsidRDefault="006C6C53">
      <w:pPr>
        <w:pStyle w:val="ListParagraph"/>
        <w:widowControl/>
        <w:spacing w:before="0" w:after="160" w:line="259" w:lineRule="auto"/>
        <w:ind w:left="720" w:firstLine="0"/>
        <w:contextualSpacing/>
        <w:jc w:val="left"/>
      </w:pPr>
    </w:p>
    <w:p w:rsidR="006C6C53" w:rsidRDefault="0075583C">
      <w:pPr>
        <w:pStyle w:val="BodyText"/>
      </w:pPr>
      <w:r>
        <w:t xml:space="preserve">56. Il servizio di monitoraggio utilizza una delle seguenti notifiche quando le metriche qualificano una </w:t>
      </w:r>
      <w:r>
        <w:t>soglia di regola specificata?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Controllo stato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Metriche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Allarmi  </w:t>
      </w:r>
    </w:p>
    <w:p w:rsidR="006C6C53" w:rsidRDefault="0075583C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Notifiche</w:t>
      </w:r>
    </w:p>
    <w:p w:rsidR="006C6C53" w:rsidRDefault="0075583C">
      <w:pPr>
        <w:pStyle w:val="BodyText"/>
      </w:pPr>
      <w:r>
        <w:t>57. La funzione Allarmi del servizio di monitoraggio funziona con quali servizi OCI ti informano quando le metriche soddisfano il trigger specificato dall'allarme?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Notifiche  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Controllo stato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Consegna e-mail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Funzioni</w:t>
      </w:r>
    </w:p>
    <w:p w:rsidR="006C6C53" w:rsidRDefault="0075583C">
      <w:pPr>
        <w:pStyle w:val="BodyText"/>
      </w:pPr>
      <w:r>
        <w:t>58. Gli eventi possono essere consegnati solo a determinati servizi Oracle Cloud Infrastructure con una regola. Assegnare un nome a queste regole.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Notifiche  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Storage degli oggett</w:t>
      </w:r>
      <w:r>
        <w:t>i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Funzioni  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Streaming  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59. Indica se la seguente istruzione è True o False: Oracle Cloud Infrastructure Events ti consente di creare automazione in base alle modifiche allo stato delle risorse in tutta la tenancy.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60. Il servizio Events li</w:t>
      </w:r>
      <w:r>
        <w:t>mita il numero di regole per ogni tenancy?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300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100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50  </w:t>
      </w:r>
    </w:p>
    <w:p w:rsidR="006C6C53" w:rsidRDefault="0075583C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200</w:t>
      </w:r>
    </w:p>
    <w:p w:rsidR="006C6C53" w:rsidRDefault="0075583C">
      <w:pPr>
        <w:pStyle w:val="BodyText"/>
      </w:pPr>
      <w:r>
        <w:t>61. Quando si avvia un contenitore per eseguire le funzioni Oracle, il contenitore esegue i processi in base a quale utente?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Le funzioni Oracle non utilizzano alcun utente predefinito. È responsabilità dell'amministratore specificarne uno.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Le funzioni Oracle utilizzano l'utente fn per eseguire il processo all'interno del contenitore senza privilegi aggiunti.  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Le funzioni Oracle</w:t>
      </w:r>
      <w:r>
        <w:t xml:space="preserve"> utilizzano lo stesso utente OCI per eseguire qualsiasi processo all'interno del contenitore senza privilegi aggiunti.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Le funzioni Oracle utilizzano la radice per eseguire qualsiasi processo all'interno del contenitore.</w:t>
      </w:r>
    </w:p>
    <w:p w:rsidR="006C6C53" w:rsidRDefault="0075583C">
      <w:pPr>
        <w:pStyle w:val="BodyText"/>
      </w:pPr>
      <w:r>
        <w:t>62. Qual è la soglia massima di memo</w:t>
      </w:r>
      <w:r>
        <w:t>ria per le funzioni Oracle?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512 MB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2048 MB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4096 MB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1024 MB  </w:t>
      </w:r>
    </w:p>
    <w:p w:rsidR="006C6C53" w:rsidRDefault="0075583C">
      <w:pPr>
        <w:pStyle w:val="BodyText"/>
      </w:pPr>
      <w:r>
        <w:t>63. Qual è il timeout massimo di esecuzione per le funzioni Oracle?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120 secondi  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secondi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3600 secondi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minuti</w:t>
      </w:r>
    </w:p>
    <w:p w:rsidR="006C6C53" w:rsidRDefault="0075583C">
      <w:pPr>
        <w:pStyle w:val="BodyText"/>
      </w:pPr>
      <w:r>
        <w:t xml:space="preserve">64. Quale dei seguenti comandi docker non è necessario per salvare un'immagine </w:t>
      </w:r>
      <w:r>
        <w:t>in OCIR?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push docker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login docker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tag docker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salvataggio docker  </w:t>
      </w:r>
    </w:p>
    <w:p w:rsidR="00781451" w:rsidRDefault="00781451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65. Quale delle seguenti opzioni è necessaria per eseguire il login a OCIR Container Registry?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Chiavi API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Token di autenticazione  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Tasti segreti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Credenziali client OAuth 2.0</w:t>
      </w:r>
    </w:p>
    <w:p w:rsidR="006C6C53" w:rsidRDefault="0075583C">
      <w:pPr>
        <w:pStyle w:val="BodyText"/>
      </w:pPr>
      <w:r>
        <w:t>66. Un tecnico DevOps desidera inviare un'immagine a OCIR e tale immagine deve essere contrassegnata in modo appropriato in modo da identificare il registro docker in cui è necessario eseguire il push dell'immagine. Quale dei seguenti elementi verrà aggiun</w:t>
      </w:r>
      <w:r>
        <w:t>to al tag immagine?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Spazio di nomi storage degli oggetti  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OCID tenancy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Nome tenancy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Token di autenticazione</w:t>
      </w:r>
    </w:p>
    <w:p w:rsidR="006C6C53" w:rsidRDefault="0075583C">
      <w:pPr>
        <w:pStyle w:val="BodyText"/>
      </w:pPr>
      <w:r>
        <w:t>67. Quale delle seguenti istruzioni non è corretta per Oracle Container Engine for kubernetes (OKE)?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I nodi di lavoro nel pool di nodi possono aver</w:t>
      </w:r>
      <w:r>
        <w:t xml:space="preserve">e forme diverse  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È possibile eseguire lo scale up del numero di nodi in un pool di nodi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L'opzione di creazione rapida per il cluster kubernetes crea VCN, gateway NAT e gateway Internet insieme ai nodi cluster e di lavoro kubernetes</w:t>
      </w:r>
    </w:p>
    <w:p w:rsidR="006C6C53" w:rsidRDefault="0075583C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È necessario pagare sol</w:t>
      </w:r>
      <w:r>
        <w:t>o per i nodi di lavoro. Non è necessario pagare per il nodo principale.</w:t>
      </w:r>
    </w:p>
    <w:p w:rsidR="006C6C53" w:rsidRDefault="0075583C">
      <w:pPr>
        <w:pStyle w:val="BodyText"/>
      </w:pPr>
      <w:r>
        <w:t>68. Quale dei seguenti metodi non è un metodo per creare un cluster kubernetes?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OCI SDK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Creazione rapida - Console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Script Terraform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Creazione personalizzata - Console</w:t>
      </w:r>
    </w:p>
    <w:p w:rsidR="006C6C53" w:rsidRDefault="0075583C">
      <w:pPr>
        <w:pStyle w:val="BodyText"/>
      </w:pPr>
      <w:r>
        <w:t>69. Indicare se</w:t>
      </w:r>
      <w:r>
        <w:t xml:space="preserve"> l'istruzione seguente è True o False: i nodi di lavoro del cluster Kubernetes devono essere posizionati nella subnet privata della VCN.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70. Nella tenancy si dispone della seguente struttura di compartimento: compartimento radice-&amp;gt;Formazi</w:t>
      </w:r>
      <w:r>
        <w:t xml:space="preserve">one-&amp;gt;Formazione-sub1-&amp;gt;Formazione-sub2 È possibile creare un criterio nel compartimento radice per consentire all'amministratore predefinito dell'account (Amministratore) di gestire i volumi a blocchi nel compartimento Formazione-sub2. Quale criterio </w:t>
      </w:r>
      <w:r>
        <w:t>si desidera scrivere per soddisfare questo requisito?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Consenti all'amministratore del gruppo di gestire la famiglia di volumi nel compartimento Formazione - sub2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Consenti all'amministratore del gruppo di gestire la famiglia di volumi nel compartimento Form</w:t>
      </w:r>
      <w:r>
        <w:t>azione-sub1: Formazione-sub2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Consenti all'amministratore del gruppo di gestire la famiglia di volumi nel compartimento radice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Consenti all'amministratore del gruppo di gestire la famiglia di volumi nel compartimento Formazione: Formazione-sub1: Formazione-sub2  </w:t>
      </w:r>
    </w:p>
    <w:p w:rsidR="006C6C53" w:rsidRDefault="006C6C53"/>
    <w:p w:rsidR="006C6C53" w:rsidRDefault="0075583C">
      <w:pPr>
        <w:pStyle w:val="BodyText"/>
      </w:pPr>
      <w:r>
        <w:t>71. È stato creato un nuovo compartimento denominato produzione per ospitare alcune applicazioni di produzione. Sono s</w:t>
      </w:r>
      <w:r>
        <w:t>tati inoltre creati utenti nella tenancy e aggiunti a un gruppo denominato "Production_Group". Gli utenti non sono ancora in grado di accedere al compartimento di produzione. Come si può risolvere questa situazione?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Scrivere un criterio IAM per ogni utente</w:t>
      </w:r>
      <w:r>
        <w:t xml:space="preserve"> specifico che concede l'accesso al compartimento di produzione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Scrivere un criterio IAM per il gruppo di produzione che concede l'accesso al compartimento di produzione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Ogni compartimento creato per impostazione predefinita ottiene un determinato set di</w:t>
      </w:r>
      <w:r>
        <w:t xml:space="preserve"> criteri. Non sono necessarie ulteriori azioni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Gli utenti ottengono l'accesso automatico a tutti i compartimenti. Non sono necessarie ulteriori azioni</w:t>
      </w:r>
    </w:p>
    <w:p w:rsidR="006C6C53" w:rsidRDefault="0075583C">
      <w:pPr>
        <w:pStyle w:val="BodyText"/>
      </w:pPr>
      <w:r>
        <w:t>72. Si dispone di un'istanza in esecuzione in un compartimento di sviluppo che deve effettuare chiamate A</w:t>
      </w:r>
      <w:r>
        <w:t>PI su altri servizi OCI, ma non si desidera configurare le credenziali utente o un file di configurazione dell'area di memorizzazione nell'istanza. Come si può soddisfare questo requisito?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Creare un gruppo dinamico con regole di corrispondenza per includer</w:t>
      </w:r>
      <w:r>
        <w:t>e l'istanza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Le istanze sono principal sicuri, pertanto non possono effettuare chiamate ad altri servizi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Le istanze possono effettuare automaticamente chiamate ad altri servizi OCI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Creare un gruppo dinamico con regole di corrispondenza per includere l'istan</w:t>
      </w:r>
      <w:r>
        <w:t xml:space="preserve">za e scrivere un criterio per questo gruppo dinamico  </w:t>
      </w:r>
    </w:p>
    <w:p w:rsidR="00366204" w:rsidRDefault="00366204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r>
        <w:lastRenderedPageBreak/>
        <w:t>73. È possibile utilizzare il servizio Vault OCI per creare e gestire quale delle risorse seguenti?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Vault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Volumi di storage a blocchi e bucket di storage degli ogg</w:t>
      </w:r>
      <w:r>
        <w:t>etti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Chiavi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Segreti  </w:t>
      </w:r>
    </w:p>
    <w:p w:rsidR="006C6C53" w:rsidRDefault="0075583C">
      <w:pPr>
        <w:pStyle w:val="BodyText"/>
      </w:pPr>
      <w:r>
        <w:t>74. Indicare se l'istruzione seguente è True o False: dopo l'eliminazione di un vault di chiavi, non sarà possibile recuperarla.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75. Quali sono le funzionalità di Key Management (OCI Vault)? Scegliere tutto quello che si applica.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La rotazione di una chiave riesegue automaticamente la cifratura dei dati precedentemente cifrati con la versione prece</w:t>
      </w:r>
      <w:r>
        <w:t>dente della chiave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Creare chiavi/disabilitare rapidamente le chiavi (in modo che non possano essere utilizzate da nessuno)/abilitare nuovamente le chiavi disabilitate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Ruota le tue chiavi per soddisfare le tue esigenze di governance della sicurezza e compliance normativa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Creare vault di chiavi ad alta disponibilità per memorizzare per lungo tempo le chiavi di cifratura  </w:t>
      </w:r>
    </w:p>
    <w:p w:rsidR="006C6C53" w:rsidRDefault="0075583C">
      <w:pPr>
        <w:pStyle w:val="BodyText"/>
      </w:pPr>
      <w:r>
        <w:t>76. I budget OCI vengono utilizzati per ottenere</w:t>
      </w:r>
      <w:r>
        <w:t xml:space="preserve"> i seguenti obiettivi: Scegli le 2 migliori opzioni.</w:t>
      </w:r>
    </w:p>
    <w:p w:rsidR="006C6C53" w:rsidRDefault="0075583C">
      <w:pPr>
        <w:pStyle w:val="P68B1DB1-Normal11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Sospendi il conto al superamento della soglia di budget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Non consentire la creazione di risorse aggiuntive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Impostare avvisi sui budget a soglie predefinite per ricevere</w:t>
      </w:r>
      <w:r>
        <w:t xml:space="preserve"> notifiche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Monitora le spese effettive e previste per l'intera tenancy o per compartimento  </w:t>
      </w:r>
    </w:p>
    <w:p w:rsidR="00366204" w:rsidRDefault="00366204">
      <w:pPr>
        <w:spacing w:before="0" w:after="0" w:line="240" w:lineRule="auto"/>
        <w:jc w:val="left"/>
      </w:pPr>
      <w:r>
        <w:br w:type="page"/>
      </w:r>
    </w:p>
    <w:p w:rsidR="006C6C53" w:rsidRDefault="0075583C">
      <w:pPr>
        <w:pStyle w:val="BodyText"/>
      </w:pPr>
      <w:bookmarkStart w:id="4" w:name="_GoBack"/>
      <w:bookmarkEnd w:id="4"/>
      <w:r>
        <w:lastRenderedPageBreak/>
        <w:t>77. L'uso delle quote del compartimento consente agli amministratori di limitare l'uso delle risorse in base a quale delle seguenti opzioni?</w:t>
      </w:r>
    </w:p>
    <w:p w:rsidR="006C6C53" w:rsidRDefault="0075583C">
      <w:pPr>
        <w:pStyle w:val="P68B1DB1-BodyText10"/>
      </w:pPr>
      <w:r>
        <w:t>(Scegli tutte le ris</w:t>
      </w:r>
      <w:r>
        <w:t>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Dominio di errore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Dominio di disponibilità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Compartimento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Area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Tenancy  </w:t>
      </w:r>
    </w:p>
    <w:p w:rsidR="006C6C53" w:rsidRDefault="0075583C">
      <w:pPr>
        <w:pStyle w:val="BodyText"/>
      </w:pPr>
      <w:r>
        <w:t>78. È possibile filtrare i costi in base a quale delle seguenti opzioni? Scegliere tutto quello che si applica.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Area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Dominio d</w:t>
      </w:r>
      <w:r>
        <w:t>i disponibilità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Tag: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Compartimento  </w:t>
      </w:r>
    </w:p>
    <w:p w:rsidR="006C6C53" w:rsidRDefault="006C6C53">
      <w:pPr>
        <w:spacing w:before="0" w:after="0" w:line="240" w:lineRule="auto"/>
        <w:jc w:val="left"/>
      </w:pPr>
    </w:p>
    <w:p w:rsidR="006C6C53" w:rsidRDefault="0075583C">
      <w:pPr>
        <w:pStyle w:val="BodyText"/>
      </w:pPr>
      <w:r>
        <w:t>79. L'accordo sul livello di servizio di Oracle Cloud Infrastructure copre quale dei seguenti aspetti?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Disponibilità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Sostenibilità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Gestibilità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Prestazioni  </w:t>
      </w:r>
    </w:p>
    <w:p w:rsidR="006C6C53" w:rsidRDefault="0075583C">
      <w:pPr>
        <w:pStyle w:val="BodyText"/>
      </w:pPr>
      <w:r>
        <w:t>80. Specificare se l'istruzione seguente è True o False: per sottomettere una richiesta di servizio è necessario disporre di un account CSI e di supporto validi.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Vero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Falso</w:t>
      </w:r>
    </w:p>
    <w:p w:rsidR="006C6C53" w:rsidRDefault="0075583C">
      <w:pPr>
        <w:pStyle w:val="BodyText"/>
      </w:pPr>
      <w:r>
        <w:t>81. Dove troverai l'identificativo del supporto clienti?</w:t>
      </w:r>
    </w:p>
    <w:p w:rsidR="006C6C53" w:rsidRDefault="0075583C">
      <w:pPr>
        <w:pStyle w:val="P68B1DB1-BodyText10"/>
      </w:pPr>
      <w:r>
        <w:t>(Scegli tutte le rispost</w:t>
      </w:r>
      <w:r>
        <w:t>e corrette)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Lettera di benvenuto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Nel documento di contratto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Pagina Dettagli tenancy in OCI Console  </w:t>
      </w:r>
    </w:p>
    <w:p w:rsidR="006C6C53" w:rsidRDefault="0075583C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Nessuna delle precedenti</w:t>
      </w:r>
    </w:p>
    <w:p w:rsidR="006C6C53" w:rsidRDefault="0075583C">
      <w:pPr>
        <w:pStyle w:val="BodyText"/>
      </w:pPr>
      <w:r>
        <w:lastRenderedPageBreak/>
        <w:t>82. Quali dei principi di progettazione riportati di seguito verranno applicati per distribuire, utilizzare e utilizzare le ap</w:t>
      </w:r>
      <w:r>
        <w:t>plicazioni in modo sicuro in Oracle Cloud Infrastructure?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Implementare i principi di privilegio minimo e separazione dei compiti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Proteggi i dati in archivio e in transito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Comprendere il modello di responsabilità per la s</w:t>
      </w:r>
      <w:r>
        <w:t>icurezza condivisa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Implementare meccanismi di sicurezza multilivello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Tutti i precedenti  </w:t>
      </w:r>
    </w:p>
    <w:p w:rsidR="006C6C53" w:rsidRDefault="0075583C">
      <w:pPr>
        <w:pStyle w:val="BodyText"/>
      </w:pPr>
      <w:r>
        <w:t>83. Quando i clienti distribuiscono il loro carico di lavoro su Oracle Cloud Infrastructure, sono responsabili di quali dei seguenti fattori? Scegliere tutto quello che si applica.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Impostazione di criteri IAM efficaci  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Credenziali utente, tra cui password complessa, rinnovo della password, accesso utente sicuro a OCI  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Gestione delle chiavi  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Isolamento della computazione, della rete e dello storage cloud virtuale e della sicurezza fisica</w:t>
      </w:r>
    </w:p>
    <w:p w:rsidR="006C6C53" w:rsidRDefault="006C6C53"/>
    <w:p w:rsidR="006C6C53" w:rsidRDefault="0075583C">
      <w:pPr>
        <w:pStyle w:val="BodyText"/>
      </w:pPr>
      <w:r>
        <w:t>84. Quale dei seguenti componenti OCI utilizzerai per implementare la sicurezza di rete?</w:t>
      </w:r>
    </w:p>
    <w:p w:rsidR="006C6C53" w:rsidRDefault="0075583C">
      <w:pPr>
        <w:pStyle w:val="P68B1DB1-BodyText10"/>
      </w:pPr>
      <w:r>
        <w:t>(Scegli tutte le risposte corrette)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Gateway  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DNS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Rete cloud virtuale  </w:t>
      </w:r>
    </w:p>
    <w:p w:rsidR="006C6C53" w:rsidRDefault="0075583C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Liste di sicurezza  </w:t>
      </w:r>
    </w:p>
    <w:p w:rsidR="006C6C53" w:rsidRDefault="006C6C53"/>
    <w:p w:rsidR="006C6C53" w:rsidRDefault="006C6C53">
      <w:pPr>
        <w:pStyle w:val="BodyText"/>
      </w:pPr>
    </w:p>
    <w:p w:rsidR="006C6C53" w:rsidRDefault="0075583C">
      <w:pPr>
        <w:pStyle w:val="Heading2"/>
      </w:pPr>
      <w:bookmarkStart w:id="5" w:name="_Toc159684930"/>
      <w:r>
        <w:t>RIFERIMENTI</w:t>
      </w:r>
      <w:bookmarkEnd w:id="5"/>
      <w:r>
        <w:t xml:space="preserve"> </w:t>
      </w:r>
    </w:p>
    <w:p w:rsidR="006C6C53" w:rsidRDefault="0075583C">
      <w:r>
        <w:t>[1]  Cloud cOmputing per la formazione digitale INnovation,</w:t>
      </w:r>
      <w:r>
        <w:t xml:space="preserve"> Accesso: 18.09.2022. [Online]. Disponibile: </w:t>
      </w:r>
      <w:hyperlink r:id="rId13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6C6C53" w:rsidRDefault="006C6C53"/>
    <w:sectPr w:rsidR="006C6C53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83C" w:rsidRDefault="0075583C">
      <w:pPr>
        <w:spacing w:before="0" w:after="0" w:line="240" w:lineRule="auto"/>
      </w:pPr>
      <w:r>
        <w:separator/>
      </w:r>
    </w:p>
  </w:endnote>
  <w:endnote w:type="continuationSeparator" w:id="0">
    <w:p w:rsidR="0075583C" w:rsidRDefault="0075583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C53" w:rsidRDefault="006C6C53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83C" w:rsidRDefault="0075583C">
      <w:pPr>
        <w:spacing w:before="0" w:after="0" w:line="240" w:lineRule="auto"/>
      </w:pPr>
      <w:r>
        <w:separator/>
      </w:r>
    </w:p>
  </w:footnote>
  <w:footnote w:type="continuationSeparator" w:id="0">
    <w:p w:rsidR="0075583C" w:rsidRDefault="0075583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C53" w:rsidRDefault="0075583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editId="4579FD94">
          <wp:simplePos x="0" y="0"/>
          <wp:positionH relativeFrom="margin">
            <wp:align>right</wp:align>
          </wp:positionH>
          <wp:positionV relativeFrom="paragraph">
            <wp:posOffset>209844</wp:posOffset>
          </wp:positionV>
          <wp:extent cx="4015105" cy="299720"/>
          <wp:effectExtent l="0" t="0" r="4445" b="5080"/>
          <wp:wrapSquare wrapText="bothSides" distT="0" distB="0" distL="114300" distR="114300"/>
          <wp:docPr id="38" name="Freeform 38"/>
          <wp:cNvGraphicFramePr/>
          <a:graphic xmlns:a="http://schemas.openxmlformats.org/drawingml/2006/main">
            <a:graphicData uri="http://schemas.microsoft.com/office/word/2010/wordprocessingShape">
              <wps:wsp>
                <wps:cNvSpPr/>
                <wps:spPr>
                  <a:xfrm>
                    <a:off x="0" y="0"/>
                    <a:ext cx="4015105" cy="299720"/>
                  </a:xfrm>
                  <a:custGeom>
                    <a:avLst/>
                    <a:gdLst/>
                    <a:ahLst/>
                    <a:cxnLst/>
                    <a:rect l="l" t="t" r="r" b="b"/>
                    <a:pathLst>
                      <a:path w="4015105" h="675640" extrusionOk="0">
                        <a:moveTo>
                          <a:pt x="0" y="0"/>
                        </a:moveTo>
                        <a:lnTo>
                          <a:pt x="0" y="675640"/>
                        </a:lnTo>
                        <a:lnTo>
                          <a:pt x="4015105" y="675640"/>
                        </a:lnTo>
                        <a:lnTo>
                          <a:pt x="4015105" y="0"/>
                        </a:lnTo>
                        <a:close/>
                      </a:path>
                    </a:pathLst>
                  </a:custGeom>
                  <a:solidFill>
                    <a:srgbClr val="FFFFFF"/>
                  </a:solidFill>
                  <a:ln>
                    <a:noFill/>
                  </a:ln>
                </wps:spPr>
                <wps:txbx>
                  <w:txbxContent>
                    <w:p w:rsidR="006C6C53" w:rsidRDefault="0075583C">
                      <w:pPr>
                        <w:pStyle w:val="P68B1DB1-Normal12"/>
                        <w:textDirection w:val="btLr"/>
                      </w:pPr>
                      <w:r>
                        <w:t>Progetto finanziato da: Erasmus+ / Azione chiave 2</w:t>
                      </w:r>
                    </w:p>
                  </w:txbxContent>
                </wps:txbx>
                <wps:bodyPr spcFirstLastPara="1" wrap="square" lIns="88900" tIns="45700" rIns="88900" bIns="45700" anchor="t" anchorCtr="0"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6C6C53" w:rsidRDefault="006C6C53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6C6C53" w:rsidRDefault="006C6C53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6C53" w:rsidRDefault="0075583C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6C6C53" w:rsidRDefault="0075583C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C6C53" w:rsidRDefault="006C6C53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6C6C53" w:rsidRDefault="006C6C53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53"/>
    <w:multiLevelType w:val="hybridMultilevel"/>
    <w:tmpl w:val="D47AC85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6703D"/>
    <w:multiLevelType w:val="hybridMultilevel"/>
    <w:tmpl w:val="2EEC883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680"/>
    <w:multiLevelType w:val="hybridMultilevel"/>
    <w:tmpl w:val="C68A5A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B24BA"/>
    <w:multiLevelType w:val="hybridMultilevel"/>
    <w:tmpl w:val="73E8F71C"/>
    <w:lvl w:ilvl="0" w:tplc="B83ED2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6267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C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0F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8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AF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8F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87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7AE6"/>
    <w:multiLevelType w:val="hybridMultilevel"/>
    <w:tmpl w:val="1938B9C4"/>
    <w:lvl w:ilvl="0" w:tplc="4D02DC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22E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D2A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1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E9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F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2B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7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7C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F6DFA"/>
    <w:multiLevelType w:val="hybridMultilevel"/>
    <w:tmpl w:val="D272194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3C36"/>
    <w:multiLevelType w:val="hybridMultilevel"/>
    <w:tmpl w:val="39666EA8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C5782"/>
    <w:multiLevelType w:val="hybridMultilevel"/>
    <w:tmpl w:val="C738651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6123"/>
    <w:multiLevelType w:val="hybridMultilevel"/>
    <w:tmpl w:val="7DF6CBD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2502D"/>
    <w:multiLevelType w:val="hybridMultilevel"/>
    <w:tmpl w:val="44EC775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C0D32"/>
    <w:multiLevelType w:val="hybridMultilevel"/>
    <w:tmpl w:val="5C6AA57A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F124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1E0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41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C1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A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AB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60414"/>
    <w:multiLevelType w:val="hybridMultilevel"/>
    <w:tmpl w:val="6832C68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2981"/>
    <w:multiLevelType w:val="hybridMultilevel"/>
    <w:tmpl w:val="F3A2368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C01AF"/>
    <w:multiLevelType w:val="hybridMultilevel"/>
    <w:tmpl w:val="8278A91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C3F8A"/>
    <w:multiLevelType w:val="hybridMultilevel"/>
    <w:tmpl w:val="948072C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F7AFD"/>
    <w:multiLevelType w:val="hybridMultilevel"/>
    <w:tmpl w:val="E94A4D5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F1E6"/>
    <w:multiLevelType w:val="hybridMultilevel"/>
    <w:tmpl w:val="597ECA1C"/>
    <w:lvl w:ilvl="0" w:tplc="39862C7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5BE7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8C1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C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F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327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8D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0E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2A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2"/>
  </w:num>
  <w:num w:numId="14">
    <w:abstractNumId w:val="9"/>
  </w:num>
  <w:num w:numId="15">
    <w:abstractNumId w:val="6"/>
  </w:num>
  <w:num w:numId="16">
    <w:abstractNumId w:val="14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sqgFACalT+ktAAAA"/>
  </w:docVars>
  <w:rsids>
    <w:rsidRoot w:val="001968CD"/>
    <w:rsid w:val="000139CA"/>
    <w:rsid w:val="00047C2A"/>
    <w:rsid w:val="000646B7"/>
    <w:rsid w:val="00072090"/>
    <w:rsid w:val="00072C46"/>
    <w:rsid w:val="00074D72"/>
    <w:rsid w:val="00094194"/>
    <w:rsid w:val="00094DE3"/>
    <w:rsid w:val="00096068"/>
    <w:rsid w:val="000A57DB"/>
    <w:rsid w:val="000B36F2"/>
    <w:rsid w:val="000B3803"/>
    <w:rsid w:val="000C3FBF"/>
    <w:rsid w:val="000F0EE4"/>
    <w:rsid w:val="000F4C14"/>
    <w:rsid w:val="00114469"/>
    <w:rsid w:val="00114F8F"/>
    <w:rsid w:val="00121457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6573A"/>
    <w:rsid w:val="002761F5"/>
    <w:rsid w:val="002804DD"/>
    <w:rsid w:val="00280917"/>
    <w:rsid w:val="00285D29"/>
    <w:rsid w:val="002919FC"/>
    <w:rsid w:val="002B5DC1"/>
    <w:rsid w:val="002D219B"/>
    <w:rsid w:val="002D2435"/>
    <w:rsid w:val="002D439E"/>
    <w:rsid w:val="002E55F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66204"/>
    <w:rsid w:val="00375767"/>
    <w:rsid w:val="003A1BD2"/>
    <w:rsid w:val="003B4275"/>
    <w:rsid w:val="003B79BE"/>
    <w:rsid w:val="003D777A"/>
    <w:rsid w:val="003F7BFF"/>
    <w:rsid w:val="00400517"/>
    <w:rsid w:val="00410190"/>
    <w:rsid w:val="00412E18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A710B"/>
    <w:rsid w:val="004D4FD4"/>
    <w:rsid w:val="004E5F9C"/>
    <w:rsid w:val="004F5154"/>
    <w:rsid w:val="005060A4"/>
    <w:rsid w:val="0052119F"/>
    <w:rsid w:val="00524706"/>
    <w:rsid w:val="0053214C"/>
    <w:rsid w:val="00534E3A"/>
    <w:rsid w:val="00567AAD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6F12"/>
    <w:rsid w:val="00652264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454D"/>
    <w:rsid w:val="006B7CD5"/>
    <w:rsid w:val="006C6C53"/>
    <w:rsid w:val="007050A7"/>
    <w:rsid w:val="007126D4"/>
    <w:rsid w:val="00715B60"/>
    <w:rsid w:val="00724A79"/>
    <w:rsid w:val="007335C3"/>
    <w:rsid w:val="00734AB8"/>
    <w:rsid w:val="00736963"/>
    <w:rsid w:val="00740367"/>
    <w:rsid w:val="007457D5"/>
    <w:rsid w:val="007464D0"/>
    <w:rsid w:val="0075583C"/>
    <w:rsid w:val="007578DB"/>
    <w:rsid w:val="0076749D"/>
    <w:rsid w:val="00781451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A01EA"/>
    <w:rsid w:val="008A077A"/>
    <w:rsid w:val="008C6724"/>
    <w:rsid w:val="008D038A"/>
    <w:rsid w:val="008D0519"/>
    <w:rsid w:val="008D45B2"/>
    <w:rsid w:val="008F4991"/>
    <w:rsid w:val="008F5790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A4378"/>
    <w:rsid w:val="009B7886"/>
    <w:rsid w:val="009C6608"/>
    <w:rsid w:val="009D4A9D"/>
    <w:rsid w:val="00A23D2B"/>
    <w:rsid w:val="00A25432"/>
    <w:rsid w:val="00A31D8B"/>
    <w:rsid w:val="00A371C0"/>
    <w:rsid w:val="00A3772B"/>
    <w:rsid w:val="00A464E4"/>
    <w:rsid w:val="00A671B3"/>
    <w:rsid w:val="00A71112"/>
    <w:rsid w:val="00A71CA9"/>
    <w:rsid w:val="00A81D58"/>
    <w:rsid w:val="00A859E5"/>
    <w:rsid w:val="00A87AE9"/>
    <w:rsid w:val="00A91529"/>
    <w:rsid w:val="00AA438A"/>
    <w:rsid w:val="00AA63C9"/>
    <w:rsid w:val="00AA7BC5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3785F"/>
    <w:rsid w:val="00B415AC"/>
    <w:rsid w:val="00B41CDB"/>
    <w:rsid w:val="00B50EFD"/>
    <w:rsid w:val="00B52421"/>
    <w:rsid w:val="00B63B55"/>
    <w:rsid w:val="00B65DFB"/>
    <w:rsid w:val="00B67D2C"/>
    <w:rsid w:val="00B73A71"/>
    <w:rsid w:val="00B73D08"/>
    <w:rsid w:val="00B85808"/>
    <w:rsid w:val="00B91841"/>
    <w:rsid w:val="00B935A3"/>
    <w:rsid w:val="00BA01D1"/>
    <w:rsid w:val="00BB09C8"/>
    <w:rsid w:val="00BC52BE"/>
    <w:rsid w:val="00BD59BC"/>
    <w:rsid w:val="00BE6C7C"/>
    <w:rsid w:val="00BE761F"/>
    <w:rsid w:val="00BF14BA"/>
    <w:rsid w:val="00C0257B"/>
    <w:rsid w:val="00C12FAE"/>
    <w:rsid w:val="00C16FEC"/>
    <w:rsid w:val="00C32EE9"/>
    <w:rsid w:val="00C47A8D"/>
    <w:rsid w:val="00C518D3"/>
    <w:rsid w:val="00C53C5D"/>
    <w:rsid w:val="00C658AB"/>
    <w:rsid w:val="00C73CF8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8A0"/>
    <w:rsid w:val="00D06BBD"/>
    <w:rsid w:val="00D10520"/>
    <w:rsid w:val="00D12A38"/>
    <w:rsid w:val="00D16CC2"/>
    <w:rsid w:val="00D16E37"/>
    <w:rsid w:val="00D4668B"/>
    <w:rsid w:val="00D46786"/>
    <w:rsid w:val="00D62395"/>
    <w:rsid w:val="00D73C5B"/>
    <w:rsid w:val="00D82FD5"/>
    <w:rsid w:val="00DA0DEB"/>
    <w:rsid w:val="00DA2440"/>
    <w:rsid w:val="00DB4A9C"/>
    <w:rsid w:val="00DC15C5"/>
    <w:rsid w:val="00DE38C8"/>
    <w:rsid w:val="00DF6B61"/>
    <w:rsid w:val="00E227BA"/>
    <w:rsid w:val="00E25F87"/>
    <w:rsid w:val="00E640B5"/>
    <w:rsid w:val="00E94F58"/>
    <w:rsid w:val="00EB28AE"/>
    <w:rsid w:val="00EC15B0"/>
    <w:rsid w:val="00EC33B6"/>
    <w:rsid w:val="00ED5825"/>
    <w:rsid w:val="00EE26DC"/>
    <w:rsid w:val="00EF13B2"/>
    <w:rsid w:val="00EF16C3"/>
    <w:rsid w:val="00EF3608"/>
    <w:rsid w:val="00F00C26"/>
    <w:rsid w:val="00F102F8"/>
    <w:rsid w:val="00F16B76"/>
    <w:rsid w:val="00F20337"/>
    <w:rsid w:val="00F20CFC"/>
    <w:rsid w:val="00F41506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21D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53E7892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BodyText10">
    <w:name w:val="P68B1DB1-BodyText10"/>
    <w:basedOn w:val="BodyText"/>
    <w:rPr>
      <w:i/>
    </w:rPr>
  </w:style>
  <w:style w:type="paragraph" w:customStyle="1" w:styleId="P68B1DB1-Normal11">
    <w:name w:val="P68B1DB1-Normal11"/>
    <w:basedOn w:val="Normal"/>
    <w:rPr>
      <w:i/>
    </w:rPr>
  </w:style>
  <w:style w:type="paragraph" w:customStyle="1" w:styleId="P68B1DB1-Normal12">
    <w:name w:val="P68B1DB1-Normal12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de-in.org" TargetMode="Externa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7910922-8A34-4C14-AE24-1A089D9D7F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C7A176-EC50-44B0-B220-6A3872DE4719}"/>
</file>

<file path=customXml/itemProps4.xml><?xml version="1.0" encoding="utf-8"?>
<ds:datastoreItem xmlns:ds="http://schemas.openxmlformats.org/officeDocument/2006/customXml" ds:itemID="{AF740360-4D49-4C09-84E9-98A848035B27}"/>
</file>

<file path=customXml/itemProps5.xml><?xml version="1.0" encoding="utf-8"?>
<ds:datastoreItem xmlns:ds="http://schemas.openxmlformats.org/officeDocument/2006/customXml" ds:itemID="{1A3C3DAB-05B7-460D-AFFB-D871EB98B6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20</Pages>
  <Words>3509</Words>
  <Characters>18536</Characters>
  <Application>Microsoft Office Word</Application>
  <DocSecurity>0</DocSecurity>
  <Lines>593</Lines>
  <Paragraphs>446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</dc:creator>
  <cp:lastModifiedBy>frane</cp:lastModifiedBy>
  <cp:revision>263</cp:revision>
  <cp:lastPrinted>2022-01-07T10:08:00Z</cp:lastPrinted>
  <dcterms:created xsi:type="dcterms:W3CDTF">2019-08-29T07:59:00Z</dcterms:created>
  <dcterms:modified xsi:type="dcterms:W3CDTF">2024-02-24T15:36:00Z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